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15935" w:type="dxa"/>
        <w:tblInd w:w="-31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3294"/>
        <w:gridCol w:w="12641"/>
      </w:tblGrid>
      <w:tr w:rsidR="006A3E26" w:rsidRPr="00435C4A" w:rsidTr="00AA4C6E">
        <w:trPr>
          <w:trHeight w:val="860"/>
        </w:trPr>
        <w:tc>
          <w:tcPr>
            <w:tcW w:w="2928" w:type="dxa"/>
          </w:tcPr>
          <w:p w:rsidR="006A3E26" w:rsidRPr="00435C4A" w:rsidRDefault="006A3E26" w:rsidP="00AA4C6E">
            <w:pPr>
              <w:pStyle w:val="a3"/>
              <w:ind w:left="1818"/>
              <w:jc w:val="center"/>
              <w:rPr>
                <w:rFonts w:ascii="Times New Roman" w:hAnsi="Times New Roman" w:cs="Times New Roman"/>
                <w:sz w:val="24"/>
                <w:szCs w:val="24"/>
                <w:lang w:val="uk-UA"/>
              </w:rPr>
            </w:pPr>
            <w:r w:rsidRPr="00435C4A">
              <w:rPr>
                <w:rFonts w:ascii="Times New Roman" w:hAnsi="Times New Roman" w:cs="Times New Roman"/>
                <w:noProof/>
                <w:sz w:val="24"/>
                <w:szCs w:val="24"/>
                <w:lang w:val="uk-UA" w:eastAsia="uk-UA"/>
              </w:rPr>
              <w:drawing>
                <wp:inline distT="0" distB="0" distL="0" distR="0">
                  <wp:extent cx="776734" cy="750627"/>
                  <wp:effectExtent l="19050" t="0" r="4316" b="0"/>
                  <wp:docPr id="1" name="Рисунок 11" descr="C:\Users\Дмитро\Desktop\суудові рішення\25343_html_m18a7c0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Дмитро\Desktop\суудові рішення\25343_html_m18a7c00d.jpg"/>
                          <pic:cNvPicPr>
                            <a:picLocks noChangeAspect="1" noChangeArrowheads="1"/>
                          </pic:cNvPicPr>
                        </pic:nvPicPr>
                        <pic:blipFill>
                          <a:blip r:embed="rId5" cstate="print"/>
                          <a:srcRect/>
                          <a:stretch>
                            <a:fillRect/>
                          </a:stretch>
                        </pic:blipFill>
                        <pic:spPr bwMode="auto">
                          <a:xfrm>
                            <a:off x="0" y="0"/>
                            <a:ext cx="776734" cy="750627"/>
                          </a:xfrm>
                          <a:prstGeom prst="rect">
                            <a:avLst/>
                          </a:prstGeom>
                          <a:noFill/>
                          <a:ln w="9525">
                            <a:noFill/>
                            <a:miter lim="800000"/>
                            <a:headEnd/>
                            <a:tailEnd/>
                          </a:ln>
                        </pic:spPr>
                      </pic:pic>
                    </a:graphicData>
                  </a:graphic>
                </wp:inline>
              </w:drawing>
            </w:r>
          </w:p>
        </w:tc>
        <w:tc>
          <w:tcPr>
            <w:tcW w:w="13007" w:type="dxa"/>
          </w:tcPr>
          <w:p w:rsidR="006A3E26" w:rsidRPr="00435C4A" w:rsidRDefault="006A3E26" w:rsidP="00AA4C6E">
            <w:pPr>
              <w:pStyle w:val="a3"/>
              <w:ind w:left="-1134"/>
              <w:jc w:val="center"/>
              <w:rPr>
                <w:rFonts w:ascii="Times New Roman" w:hAnsi="Times New Roman" w:cs="Times New Roman"/>
                <w:caps/>
                <w:noProof/>
                <w:sz w:val="24"/>
                <w:szCs w:val="24"/>
                <w:lang w:val="uk-UA"/>
              </w:rPr>
            </w:pPr>
          </w:p>
          <w:p w:rsidR="006A3E26" w:rsidRPr="00435C4A" w:rsidRDefault="006A3E26" w:rsidP="00AA4C6E">
            <w:pPr>
              <w:pStyle w:val="a3"/>
              <w:ind w:left="-1134"/>
              <w:jc w:val="center"/>
              <w:rPr>
                <w:rFonts w:ascii="Times New Roman" w:hAnsi="Times New Roman" w:cs="Times New Roman"/>
                <w:caps/>
                <w:noProof/>
                <w:sz w:val="24"/>
                <w:szCs w:val="24"/>
                <w:lang w:val="uk-UA"/>
              </w:rPr>
            </w:pPr>
            <w:r w:rsidRPr="00435C4A">
              <w:rPr>
                <w:rFonts w:ascii="Times New Roman" w:hAnsi="Times New Roman" w:cs="Times New Roman"/>
                <w:caps/>
                <w:noProof/>
                <w:sz w:val="24"/>
                <w:szCs w:val="24"/>
                <w:lang w:val="uk-UA"/>
              </w:rPr>
              <w:t>Львівський національний медичний університет імені Данила Галицького</w:t>
            </w:r>
          </w:p>
          <w:p w:rsidR="006A3E26" w:rsidRPr="00435C4A" w:rsidRDefault="006A3E26" w:rsidP="00AA4C6E">
            <w:pPr>
              <w:pStyle w:val="a3"/>
              <w:ind w:left="-1134"/>
              <w:jc w:val="center"/>
              <w:rPr>
                <w:rFonts w:ascii="Times New Roman" w:hAnsi="Times New Roman" w:cs="Times New Roman"/>
                <w:caps/>
                <w:noProof/>
                <w:sz w:val="24"/>
                <w:szCs w:val="24"/>
                <w:lang w:val="uk-UA"/>
              </w:rPr>
            </w:pPr>
            <w:r w:rsidRPr="00435C4A">
              <w:rPr>
                <w:rFonts w:ascii="Times New Roman" w:hAnsi="Times New Roman" w:cs="Times New Roman"/>
                <w:caps/>
                <w:noProof/>
                <w:sz w:val="24"/>
                <w:szCs w:val="24"/>
                <w:lang w:val="uk-UA"/>
              </w:rPr>
              <w:t>Факультет післядипломної освіти</w:t>
            </w:r>
          </w:p>
          <w:p w:rsidR="006A3E26" w:rsidRPr="00435C4A" w:rsidRDefault="006A3E26" w:rsidP="00AA4C6E">
            <w:pPr>
              <w:pStyle w:val="a3"/>
              <w:ind w:left="-1134"/>
              <w:jc w:val="center"/>
              <w:rPr>
                <w:rFonts w:ascii="Times New Roman" w:hAnsi="Times New Roman" w:cs="Times New Roman"/>
                <w:b/>
                <w:caps/>
                <w:noProof/>
                <w:sz w:val="24"/>
                <w:szCs w:val="24"/>
                <w:lang w:val="uk-UA"/>
              </w:rPr>
            </w:pPr>
            <w:r w:rsidRPr="00435C4A">
              <w:rPr>
                <w:rFonts w:ascii="Times New Roman" w:hAnsi="Times New Roman" w:cs="Times New Roman"/>
                <w:b/>
                <w:caps/>
                <w:noProof/>
                <w:sz w:val="24"/>
                <w:szCs w:val="24"/>
                <w:lang w:val="uk-UA"/>
              </w:rPr>
              <w:t>Кафедра медичного права</w:t>
            </w:r>
          </w:p>
          <w:p w:rsidR="006A3E26" w:rsidRPr="00435C4A" w:rsidRDefault="006A3E26" w:rsidP="00AA4C6E">
            <w:pPr>
              <w:pStyle w:val="a3"/>
              <w:ind w:left="-1134"/>
              <w:jc w:val="center"/>
              <w:rPr>
                <w:rFonts w:ascii="Times New Roman" w:hAnsi="Times New Roman" w:cs="Times New Roman"/>
                <w:sz w:val="24"/>
                <w:szCs w:val="24"/>
                <w:lang w:val="uk-UA"/>
              </w:rPr>
            </w:pPr>
            <w:r w:rsidRPr="00435C4A">
              <w:rPr>
                <w:rFonts w:ascii="Times New Roman" w:hAnsi="Times New Roman" w:cs="Times New Roman"/>
                <w:sz w:val="24"/>
                <w:szCs w:val="24"/>
                <w:lang w:val="uk-UA"/>
              </w:rPr>
              <w:t>вул. Солодова, 10, м. Львів, 79010, тел. 2755381</w:t>
            </w:r>
          </w:p>
        </w:tc>
      </w:tr>
    </w:tbl>
    <w:p w:rsidR="006A3E26" w:rsidRPr="00435C4A" w:rsidRDefault="006A3E26" w:rsidP="006A3E26">
      <w:pPr>
        <w:rPr>
          <w:rFonts w:ascii="Times New Roman" w:hAnsi="Times New Roman"/>
          <w:sz w:val="24"/>
          <w:szCs w:val="24"/>
          <w:lang w:val="uk-UA"/>
        </w:rPr>
      </w:pPr>
    </w:p>
    <w:p w:rsidR="006A3E26" w:rsidRDefault="006A3E26" w:rsidP="00761486">
      <w:pPr>
        <w:spacing w:after="0"/>
        <w:jc w:val="center"/>
        <w:rPr>
          <w:rFonts w:ascii="Times New Roman" w:hAnsi="Times New Roman"/>
          <w:b/>
          <w:sz w:val="24"/>
          <w:szCs w:val="24"/>
          <w:lang w:val="uk-UA"/>
        </w:rPr>
      </w:pPr>
      <w:r w:rsidRPr="00435C4A">
        <w:rPr>
          <w:rFonts w:ascii="Times New Roman" w:hAnsi="Times New Roman"/>
          <w:b/>
          <w:sz w:val="24"/>
          <w:szCs w:val="24"/>
          <w:lang w:val="uk-UA"/>
        </w:rPr>
        <w:t xml:space="preserve">Пропозиції та зауваги до </w:t>
      </w:r>
      <w:r w:rsidR="00761486" w:rsidRPr="00435C4A">
        <w:rPr>
          <w:rFonts w:ascii="Times New Roman" w:hAnsi="Times New Roman"/>
          <w:b/>
          <w:sz w:val="24"/>
          <w:szCs w:val="24"/>
          <w:lang w:val="uk-UA"/>
        </w:rPr>
        <w:t>проекту Закону України про судово-медичну експертну діяльність</w:t>
      </w:r>
    </w:p>
    <w:p w:rsidR="00435C4A" w:rsidRPr="00435C4A" w:rsidRDefault="00435C4A" w:rsidP="00761486">
      <w:pPr>
        <w:spacing w:after="0"/>
        <w:jc w:val="center"/>
        <w:rPr>
          <w:rFonts w:ascii="Times New Roman" w:hAnsi="Times New Roman"/>
          <w:b/>
          <w:sz w:val="24"/>
          <w:szCs w:val="24"/>
          <w:lang w:val="uk-UA"/>
        </w:rPr>
      </w:pPr>
    </w:p>
    <w:p w:rsidR="00435C4A" w:rsidRPr="00435C4A" w:rsidRDefault="00435C4A" w:rsidP="00435C4A">
      <w:pPr>
        <w:spacing w:after="0"/>
        <w:rPr>
          <w:rFonts w:ascii="Times New Roman" w:hAnsi="Times New Roman"/>
          <w:b/>
          <w:sz w:val="24"/>
          <w:szCs w:val="24"/>
          <w:lang w:val="uk-UA"/>
        </w:rPr>
      </w:pPr>
      <w:r w:rsidRPr="00435C4A">
        <w:rPr>
          <w:rFonts w:ascii="Times New Roman" w:hAnsi="Times New Roman"/>
          <w:b/>
          <w:sz w:val="24"/>
          <w:szCs w:val="24"/>
          <w:lang w:val="uk-UA"/>
        </w:rPr>
        <w:t>Загальні зауваги до проекту</w:t>
      </w:r>
    </w:p>
    <w:p w:rsidR="00435C4A" w:rsidRPr="00435C4A" w:rsidRDefault="00435C4A" w:rsidP="00435C4A">
      <w:pPr>
        <w:spacing w:after="0"/>
        <w:ind w:firstLine="567"/>
        <w:jc w:val="both"/>
        <w:rPr>
          <w:rFonts w:ascii="Times New Roman" w:hAnsi="Times New Roman"/>
          <w:b/>
          <w:sz w:val="24"/>
          <w:szCs w:val="24"/>
          <w:lang w:val="uk-UA"/>
        </w:rPr>
      </w:pPr>
      <w:r w:rsidRPr="00435C4A">
        <w:rPr>
          <w:rFonts w:ascii="Times New Roman" w:hAnsi="Times New Roman"/>
          <w:b/>
          <w:sz w:val="24"/>
          <w:szCs w:val="24"/>
          <w:lang w:val="uk-UA"/>
        </w:rPr>
        <w:t>І. Щодо альтернативної судово-медичної експертиз</w:t>
      </w:r>
      <w:r>
        <w:rPr>
          <w:rFonts w:ascii="Times New Roman" w:hAnsi="Times New Roman"/>
          <w:b/>
          <w:sz w:val="24"/>
          <w:szCs w:val="24"/>
          <w:lang w:val="uk-UA"/>
        </w:rPr>
        <w:t>и</w:t>
      </w:r>
      <w:r w:rsidRPr="00435C4A">
        <w:rPr>
          <w:rFonts w:ascii="Times New Roman" w:hAnsi="Times New Roman"/>
          <w:b/>
          <w:sz w:val="24"/>
          <w:szCs w:val="24"/>
          <w:lang w:val="uk-UA"/>
        </w:rPr>
        <w:t xml:space="preserve">. </w:t>
      </w:r>
    </w:p>
    <w:p w:rsidR="00033C7E" w:rsidRPr="00033C7E" w:rsidRDefault="00435C4A" w:rsidP="00033C7E">
      <w:pPr>
        <w:spacing w:after="0"/>
        <w:ind w:firstLine="567"/>
        <w:jc w:val="both"/>
        <w:rPr>
          <w:rFonts w:ascii="Times New Roman" w:hAnsi="Times New Roman"/>
          <w:color w:val="000000"/>
          <w:sz w:val="24"/>
          <w:szCs w:val="24"/>
          <w:shd w:val="clear" w:color="auto" w:fill="FFFFFF"/>
          <w:lang w:val="uk-UA"/>
        </w:rPr>
      </w:pPr>
      <w:r w:rsidRPr="00435C4A">
        <w:rPr>
          <w:rFonts w:ascii="Times New Roman" w:hAnsi="Times New Roman"/>
          <w:sz w:val="24"/>
          <w:szCs w:val="24"/>
          <w:lang w:val="uk-UA"/>
        </w:rPr>
        <w:t xml:space="preserve">Відповідно до </w:t>
      </w:r>
      <w:r>
        <w:rPr>
          <w:rFonts w:ascii="Times New Roman" w:hAnsi="Times New Roman"/>
          <w:sz w:val="24"/>
          <w:szCs w:val="24"/>
          <w:lang w:val="uk-UA"/>
        </w:rPr>
        <w:t xml:space="preserve">п. 4.1 ст. 4 </w:t>
      </w:r>
      <w:r w:rsidRPr="00435C4A">
        <w:rPr>
          <w:rFonts w:ascii="Times New Roman" w:hAnsi="Times New Roman"/>
          <w:sz w:val="24"/>
          <w:szCs w:val="24"/>
          <w:lang w:val="uk-UA"/>
        </w:rPr>
        <w:t xml:space="preserve">законопроекту, </w:t>
      </w:r>
      <w:r w:rsidRPr="00435C4A">
        <w:rPr>
          <w:rFonts w:ascii="Times New Roman" w:hAnsi="Times New Roman"/>
          <w:i/>
          <w:sz w:val="24"/>
          <w:szCs w:val="24"/>
          <w:lang w:val="uk-UA"/>
        </w:rPr>
        <w:t>судово-медичну експертну діяльність здійснюють виключно державні спеціалізовані установи</w:t>
      </w:r>
      <w:r w:rsidRPr="00435C4A">
        <w:rPr>
          <w:rFonts w:ascii="Times New Roman" w:hAnsi="Times New Roman"/>
          <w:sz w:val="24"/>
          <w:szCs w:val="24"/>
          <w:lang w:val="uk-UA"/>
        </w:rPr>
        <w:t xml:space="preserve">. </w:t>
      </w:r>
      <w:r w:rsidR="00033C7E">
        <w:rPr>
          <w:rFonts w:ascii="Times New Roman" w:hAnsi="Times New Roman"/>
          <w:sz w:val="24"/>
          <w:szCs w:val="24"/>
          <w:lang w:val="uk-UA"/>
        </w:rPr>
        <w:t>У Прикінцевих положення законопроекту пропонується внести такі зміни, зокрема до ст. 7 Закону Укр</w:t>
      </w:r>
      <w:r w:rsidR="001C59FA">
        <w:rPr>
          <w:rFonts w:ascii="Times New Roman" w:hAnsi="Times New Roman"/>
          <w:sz w:val="24"/>
          <w:szCs w:val="24"/>
          <w:lang w:val="uk-UA"/>
        </w:rPr>
        <w:t>аїни «Про судову експертизу», як</w:t>
      </w:r>
      <w:r w:rsidR="00033C7E">
        <w:rPr>
          <w:rFonts w:ascii="Times New Roman" w:hAnsi="Times New Roman"/>
          <w:sz w:val="24"/>
          <w:szCs w:val="24"/>
          <w:lang w:val="uk-UA"/>
        </w:rPr>
        <w:t xml:space="preserve">: </w:t>
      </w:r>
      <w:r w:rsidR="00033C7E" w:rsidRPr="00033C7E">
        <w:rPr>
          <w:rFonts w:ascii="Times New Roman" w:hAnsi="Times New Roman"/>
          <w:sz w:val="24"/>
          <w:szCs w:val="24"/>
          <w:lang w:val="uk-UA"/>
        </w:rPr>
        <w:t>д</w:t>
      </w:r>
      <w:r w:rsidR="00033C7E" w:rsidRPr="00033C7E">
        <w:rPr>
          <w:rFonts w:ascii="Times New Roman" w:hAnsi="Times New Roman"/>
          <w:color w:val="000000"/>
          <w:sz w:val="24"/>
          <w:szCs w:val="24"/>
          <w:shd w:val="clear" w:color="auto" w:fill="FFFFFF"/>
          <w:lang w:val="uk-UA"/>
        </w:rPr>
        <w:t>о державних спеціалізованих установ належать</w:t>
      </w:r>
      <w:r w:rsidR="00033C7E" w:rsidRPr="00033C7E">
        <w:rPr>
          <w:rFonts w:ascii="Times New Roman" w:hAnsi="Times New Roman"/>
          <w:color w:val="000000"/>
          <w:shd w:val="clear" w:color="auto" w:fill="FFFFFF"/>
          <w:lang w:val="uk-UA"/>
        </w:rPr>
        <w:t xml:space="preserve"> </w:t>
      </w:r>
      <w:r w:rsidR="00033C7E" w:rsidRPr="00033C7E">
        <w:rPr>
          <w:rFonts w:ascii="Times New Roman" w:hAnsi="Times New Roman"/>
          <w:color w:val="000000"/>
          <w:sz w:val="24"/>
          <w:szCs w:val="24"/>
          <w:shd w:val="clear" w:color="auto" w:fill="FFFFFF"/>
          <w:lang w:val="uk-UA"/>
        </w:rPr>
        <w:t xml:space="preserve">експертні служби Міністерства внутрішніх справ України, Міністерства оборони України, Служби безпеки України та Державної прикордонної служби України. </w:t>
      </w:r>
      <w:r w:rsidR="00033C7E" w:rsidRPr="00033C7E">
        <w:rPr>
          <w:rFonts w:ascii="Times New Roman" w:hAnsi="Times New Roman"/>
          <w:i/>
          <w:color w:val="000000"/>
          <w:sz w:val="24"/>
          <w:szCs w:val="24"/>
          <w:shd w:val="clear" w:color="auto" w:fill="FFFFFF"/>
          <w:lang w:val="uk-UA"/>
        </w:rPr>
        <w:t>У вказаних органах не може здійснюватися судово-медична експертиза</w:t>
      </w:r>
      <w:r w:rsidR="00033C7E" w:rsidRPr="00033C7E">
        <w:rPr>
          <w:rFonts w:ascii="Times New Roman" w:hAnsi="Times New Roman"/>
          <w:color w:val="000000"/>
          <w:sz w:val="24"/>
          <w:szCs w:val="24"/>
          <w:shd w:val="clear" w:color="auto" w:fill="FFFFFF"/>
          <w:lang w:val="uk-UA"/>
        </w:rPr>
        <w:t>.</w:t>
      </w:r>
    </w:p>
    <w:p w:rsidR="00435C4A" w:rsidRPr="00435C4A" w:rsidRDefault="00435C4A" w:rsidP="00435C4A">
      <w:pPr>
        <w:spacing w:after="0"/>
        <w:ind w:firstLine="567"/>
        <w:jc w:val="both"/>
        <w:rPr>
          <w:rFonts w:ascii="Times New Roman" w:hAnsi="Times New Roman"/>
          <w:sz w:val="24"/>
          <w:szCs w:val="24"/>
          <w:lang w:val="uk-UA"/>
        </w:rPr>
      </w:pPr>
      <w:r w:rsidRPr="00435C4A">
        <w:rPr>
          <w:rFonts w:ascii="Times New Roman" w:hAnsi="Times New Roman"/>
          <w:sz w:val="24"/>
          <w:szCs w:val="24"/>
          <w:lang w:val="uk-UA"/>
        </w:rPr>
        <w:t>Пропонований виклад норми породжує кілька зауваг:</w:t>
      </w:r>
    </w:p>
    <w:p w:rsidR="00033C7E" w:rsidRPr="00033C7E" w:rsidRDefault="00033C7E" w:rsidP="00033C7E">
      <w:pPr>
        <w:pStyle w:val="a8"/>
        <w:numPr>
          <w:ilvl w:val="0"/>
          <w:numId w:val="1"/>
        </w:numPr>
        <w:spacing w:after="0"/>
        <w:ind w:left="-1" w:firstLine="427"/>
        <w:jc w:val="both"/>
        <w:rPr>
          <w:rFonts w:ascii="Times New Roman" w:hAnsi="Times New Roman"/>
          <w:color w:val="000000"/>
          <w:sz w:val="24"/>
          <w:szCs w:val="24"/>
          <w:shd w:val="clear" w:color="auto" w:fill="FFFFFF"/>
          <w:lang w:val="uk-UA"/>
        </w:rPr>
      </w:pPr>
      <w:r w:rsidRPr="00033C7E">
        <w:rPr>
          <w:rFonts w:ascii="Times New Roman" w:hAnsi="Times New Roman"/>
          <w:sz w:val="24"/>
          <w:szCs w:val="24"/>
          <w:lang w:val="uk-UA"/>
        </w:rPr>
        <w:t xml:space="preserve">У проекті передбачено можливість проведення експертизи виключно </w:t>
      </w:r>
      <w:r w:rsidRPr="00033C7E">
        <w:rPr>
          <w:rFonts w:ascii="Times New Roman" w:hAnsi="Times New Roman"/>
          <w:color w:val="000000"/>
          <w:sz w:val="24"/>
          <w:szCs w:val="24"/>
          <w:shd w:val="clear" w:color="auto" w:fill="FFFFFF"/>
          <w:lang w:val="uk-UA"/>
        </w:rPr>
        <w:t>установами Державної служби суд</w:t>
      </w:r>
      <w:r>
        <w:rPr>
          <w:rFonts w:ascii="Times New Roman" w:hAnsi="Times New Roman"/>
          <w:color w:val="000000"/>
          <w:sz w:val="24"/>
          <w:szCs w:val="24"/>
          <w:shd w:val="clear" w:color="auto" w:fill="FFFFFF"/>
          <w:lang w:val="uk-UA"/>
        </w:rPr>
        <w:t>ово-медичної експертизи України.</w:t>
      </w:r>
      <w:r w:rsidRPr="00033C7E">
        <w:rPr>
          <w:rFonts w:ascii="Times New Roman" w:hAnsi="Times New Roman"/>
          <w:color w:val="000000"/>
          <w:sz w:val="24"/>
          <w:szCs w:val="24"/>
          <w:shd w:val="clear" w:color="auto" w:fill="FFFFFF"/>
          <w:lang w:val="uk-UA"/>
        </w:rPr>
        <w:t xml:space="preserve"> </w:t>
      </w:r>
      <w:r>
        <w:rPr>
          <w:rFonts w:ascii="Times New Roman" w:hAnsi="Times New Roman"/>
          <w:color w:val="000000"/>
          <w:sz w:val="24"/>
          <w:szCs w:val="24"/>
          <w:shd w:val="clear" w:color="auto" w:fill="FFFFFF"/>
          <w:lang w:val="uk-UA"/>
        </w:rPr>
        <w:t xml:space="preserve">Плануються обмеження проведення такого виду експертиз в інших органах, наприклад, </w:t>
      </w:r>
      <w:r w:rsidR="001C59FA">
        <w:rPr>
          <w:rFonts w:ascii="Times New Roman" w:hAnsi="Times New Roman"/>
          <w:color w:val="000000"/>
          <w:sz w:val="24"/>
          <w:szCs w:val="24"/>
          <w:shd w:val="clear" w:color="auto" w:fill="FFFFFF"/>
          <w:lang w:val="uk-UA"/>
        </w:rPr>
        <w:t>у</w:t>
      </w:r>
      <w:r>
        <w:rPr>
          <w:rFonts w:ascii="Times New Roman" w:hAnsi="Times New Roman"/>
          <w:color w:val="000000"/>
          <w:sz w:val="24"/>
          <w:szCs w:val="24"/>
          <w:shd w:val="clear" w:color="auto" w:fill="FFFFFF"/>
          <w:lang w:val="uk-UA"/>
        </w:rPr>
        <w:t xml:space="preserve"> Бюро судово-медичної експертизи </w:t>
      </w:r>
      <w:proofErr w:type="spellStart"/>
      <w:r>
        <w:rPr>
          <w:rFonts w:ascii="Times New Roman" w:hAnsi="Times New Roman"/>
          <w:color w:val="000000"/>
          <w:sz w:val="24"/>
          <w:szCs w:val="24"/>
          <w:shd w:val="clear" w:color="auto" w:fill="FFFFFF"/>
          <w:lang w:val="uk-UA"/>
        </w:rPr>
        <w:t>МО</w:t>
      </w:r>
      <w:proofErr w:type="spellEnd"/>
      <w:r>
        <w:rPr>
          <w:rFonts w:ascii="Times New Roman" w:hAnsi="Times New Roman"/>
          <w:color w:val="000000"/>
          <w:sz w:val="24"/>
          <w:szCs w:val="24"/>
          <w:shd w:val="clear" w:color="auto" w:fill="FFFFFF"/>
          <w:lang w:val="uk-UA"/>
        </w:rPr>
        <w:t xml:space="preserve"> України. </w:t>
      </w:r>
    </w:p>
    <w:p w:rsidR="00435C4A" w:rsidRPr="00435C4A" w:rsidRDefault="00435C4A" w:rsidP="00435C4A">
      <w:pPr>
        <w:pStyle w:val="a8"/>
        <w:numPr>
          <w:ilvl w:val="0"/>
          <w:numId w:val="1"/>
        </w:numPr>
        <w:spacing w:after="0"/>
        <w:ind w:left="0" w:firstLine="426"/>
        <w:jc w:val="both"/>
        <w:rPr>
          <w:rFonts w:ascii="Times New Roman" w:hAnsi="Times New Roman"/>
          <w:sz w:val="24"/>
          <w:szCs w:val="24"/>
          <w:lang w:val="uk-UA"/>
        </w:rPr>
      </w:pPr>
      <w:r w:rsidRPr="00435C4A">
        <w:rPr>
          <w:rFonts w:ascii="Times New Roman" w:hAnsi="Times New Roman"/>
          <w:sz w:val="24"/>
          <w:szCs w:val="24"/>
          <w:lang w:val="uk-UA"/>
        </w:rPr>
        <w:t xml:space="preserve">У п. «й» ст. 6 Закону України «Основи законодавства України про охорону здоров’я» (далі - Основи) передбачено можливість проведення </w:t>
      </w:r>
      <w:r w:rsidRPr="00435C4A">
        <w:rPr>
          <w:rFonts w:ascii="Times New Roman" w:hAnsi="Times New Roman"/>
          <w:i/>
          <w:sz w:val="24"/>
          <w:szCs w:val="24"/>
          <w:lang w:val="uk-UA"/>
        </w:rPr>
        <w:t>незалежної медичної експертизи</w:t>
      </w:r>
      <w:r w:rsidRPr="00435C4A">
        <w:rPr>
          <w:rFonts w:ascii="Times New Roman" w:hAnsi="Times New Roman"/>
          <w:sz w:val="24"/>
          <w:szCs w:val="24"/>
          <w:lang w:val="uk-UA"/>
        </w:rPr>
        <w:t xml:space="preserve"> у разі незгоди громадянина з висновками </w:t>
      </w:r>
      <w:r w:rsidRPr="00435C4A">
        <w:rPr>
          <w:rFonts w:ascii="Times New Roman" w:hAnsi="Times New Roman"/>
          <w:sz w:val="24"/>
          <w:szCs w:val="24"/>
          <w:u w:val="single"/>
          <w:lang w:val="uk-UA"/>
        </w:rPr>
        <w:t>державної медичної експертизи</w:t>
      </w:r>
      <w:r w:rsidRPr="00435C4A">
        <w:rPr>
          <w:rFonts w:ascii="Times New Roman" w:hAnsi="Times New Roman"/>
          <w:sz w:val="24"/>
          <w:szCs w:val="24"/>
          <w:lang w:val="uk-UA"/>
        </w:rPr>
        <w:t xml:space="preserve">, застосування до нього заходів примусового лікування та в інших випадках, коли діями працівників охорони здоров’я можуть бути ущемлені загальновизнані права людини і громадянина. У ст. 73 Основ закріплено право на альтернативну медичну експертизу, зокрема, у разі незгоди громадянина з висновками державної медичної експертизи. З буквального тлумачення цієї норми випливає, що: 1) ця стаття знаходиться у розділі ІХ «Медична експертиза» Основ, видами якої є медико-соціальна експертиза втрати працездатності, військово-лікарська експертиза, судово-медична експертиза, судово-психіатрична експертиза, патологоанатомічний розтин та альтернативна медична експертиза; 2) позначення назви ст. 73 «Альтернативна медична експертиза» апріорі передбачає можливість альтернативи для усіх видів експертиз, які передбачені в дев’ятому розділі, хоча вже в ч. 1 ст. 73 Основ закріплено право на альтернативну медичну (медико-соціальну, військово-лікарську) експертизу або патологоанатомічний розтин. Як видається, таке уточнення у формулюванні нормативного положення робить його вужчим за </w:t>
      </w:r>
      <w:r w:rsidRPr="00435C4A">
        <w:rPr>
          <w:rFonts w:ascii="Times New Roman" w:hAnsi="Times New Roman"/>
          <w:sz w:val="24"/>
          <w:szCs w:val="24"/>
          <w:lang w:val="uk-UA"/>
        </w:rPr>
        <w:lastRenderedPageBreak/>
        <w:t xml:space="preserve">назву ст. 73 Основ і відтак, вилучає з переліку тих експертиз, де можна проводити альтернативну, судово-медичну та судово-психіатричну експертизи. Також варто привернути увагу й до одночасно вузькості позначення норми ст. 73 Основ, адже патологоанатомічний розтин не є видом медичної експертизи; 4) різний підхід до наповнення норм ст. 6 і ст. 73 Основ призводить до внутрішньої колізії, а відтак, право на незалежну медичну експертизу, яке гарантовано в ст. 6 Основ, залишається правом-фікцією. </w:t>
      </w:r>
    </w:p>
    <w:p w:rsidR="00435C4A" w:rsidRPr="00435C4A" w:rsidRDefault="00435C4A" w:rsidP="00435C4A">
      <w:pPr>
        <w:pStyle w:val="a8"/>
        <w:spacing w:after="0"/>
        <w:ind w:left="0" w:firstLine="709"/>
        <w:jc w:val="both"/>
        <w:rPr>
          <w:rFonts w:ascii="Times New Roman" w:hAnsi="Times New Roman"/>
          <w:sz w:val="24"/>
          <w:szCs w:val="24"/>
          <w:lang w:val="uk-UA"/>
        </w:rPr>
      </w:pPr>
      <w:r w:rsidRPr="00435C4A">
        <w:rPr>
          <w:rFonts w:ascii="Times New Roman" w:hAnsi="Times New Roman"/>
          <w:sz w:val="24"/>
          <w:szCs w:val="24"/>
          <w:lang w:val="uk-UA"/>
        </w:rPr>
        <w:t xml:space="preserve">З огляду на наведене, як видається, варто внести зміни і до Основ, що може бути передбачено в Прикінцевих положеннях законопроекту. Для прикладу, такими пропозиціями можуть бути: 1) змінити позначення розділу ІХ Основ і викласти його в редакції – «Медична експертиза та патологоанатомічний розтин»; 2) у ч. 1 ст. 73 Основ вилучити уточнення видів експертиз, у яких можна проводити альтернативну, а саме виключивши після терміносполучення «альтернативна медична» частину норми, що розміщена в дужках. Це забезпечить, з одного боку, коректність викладу норми з дотриманням балансу цілого і частини, а з іншого, трансформує право-декларацію, що закріплене в ст. 6 Основ, у реальну можливість. </w:t>
      </w:r>
    </w:p>
    <w:p w:rsidR="00435C4A" w:rsidRPr="00435C4A" w:rsidRDefault="00435C4A" w:rsidP="00435C4A">
      <w:pPr>
        <w:pStyle w:val="a8"/>
        <w:spacing w:after="0"/>
        <w:ind w:left="0" w:firstLine="709"/>
        <w:jc w:val="both"/>
        <w:rPr>
          <w:rFonts w:ascii="Times New Roman" w:hAnsi="Times New Roman"/>
          <w:sz w:val="24"/>
          <w:szCs w:val="24"/>
          <w:lang w:val="uk-UA"/>
        </w:rPr>
      </w:pPr>
      <w:r w:rsidRPr="00435C4A">
        <w:rPr>
          <w:rFonts w:ascii="Times New Roman" w:hAnsi="Times New Roman"/>
          <w:sz w:val="24"/>
          <w:szCs w:val="24"/>
          <w:lang w:val="uk-UA"/>
        </w:rPr>
        <w:t xml:space="preserve">Крім цього, сьогодні не прийнято жодного нормативного акта Кабінетом Міністрів України, який би визначав порядок та умови проведення альтернативної медичної експертизи, як це визначено в ч. 3 ст. 73 Основ. Слід підкреслити, що пропоноване змістове навантаження норми </w:t>
      </w:r>
      <w:r w:rsidR="00EE46BF">
        <w:rPr>
          <w:rFonts w:ascii="Times New Roman" w:hAnsi="Times New Roman"/>
          <w:sz w:val="24"/>
          <w:szCs w:val="24"/>
          <w:lang w:val="uk-UA"/>
        </w:rPr>
        <w:t xml:space="preserve">п. 4.1 ст. 4 </w:t>
      </w:r>
      <w:r w:rsidRPr="00435C4A">
        <w:rPr>
          <w:rFonts w:ascii="Times New Roman" w:hAnsi="Times New Roman"/>
          <w:sz w:val="24"/>
          <w:szCs w:val="24"/>
          <w:lang w:val="uk-UA"/>
        </w:rPr>
        <w:t>законопроекту виключає будь-яку альтернативу державній судово-медичній експертиз</w:t>
      </w:r>
      <w:r w:rsidR="00EE46BF">
        <w:rPr>
          <w:rFonts w:ascii="Times New Roman" w:hAnsi="Times New Roman"/>
          <w:sz w:val="24"/>
          <w:szCs w:val="24"/>
          <w:lang w:val="uk-UA"/>
        </w:rPr>
        <w:t xml:space="preserve">і, а окреслене вище положення Прикінцевих положень загалом звузило й інституційну можливість, адже сьогодні державну медичну експертизу можна провести й в інших відомствах. </w:t>
      </w:r>
    </w:p>
    <w:p w:rsidR="00435C4A" w:rsidRPr="00435C4A" w:rsidRDefault="00435C4A" w:rsidP="00435C4A">
      <w:pPr>
        <w:pStyle w:val="a8"/>
        <w:numPr>
          <w:ilvl w:val="0"/>
          <w:numId w:val="1"/>
        </w:numPr>
        <w:spacing w:after="0"/>
        <w:ind w:left="0" w:firstLine="426"/>
        <w:jc w:val="both"/>
        <w:rPr>
          <w:rFonts w:ascii="Times New Roman" w:hAnsi="Times New Roman"/>
          <w:sz w:val="24"/>
          <w:szCs w:val="24"/>
          <w:lang w:val="uk-UA"/>
        </w:rPr>
      </w:pPr>
      <w:r w:rsidRPr="00435C4A">
        <w:rPr>
          <w:rFonts w:ascii="Times New Roman" w:hAnsi="Times New Roman"/>
          <w:sz w:val="24"/>
          <w:szCs w:val="24"/>
          <w:lang w:val="uk-UA"/>
        </w:rPr>
        <w:t>Варто привернути увагу до чинного сьогодні Закону України «Про судову експертизу», а саме до його першої редакції від 25.02.1994 р. У ч. 3 ст. 7 цього Закону містилась така норма «судово-експертна діяльність може здійснюватися на підприємницьких засадах на підставі спеціального дозволу (ліцензії), а також громадянами за разовими договорами». У чинній Інструкції №6, яка зареєстрована в Міністерстві юстиції України 26.07.1995 р. № 254/790, закріплено таке положення (п. 1.5): «Проведення судово-медичної експертизи здійснюється фахівцями державних установ судово-медичних експертиз МОЗ України.</w:t>
      </w:r>
      <w:bookmarkStart w:id="0" w:name="o21"/>
      <w:bookmarkEnd w:id="0"/>
      <w:r w:rsidRPr="00435C4A">
        <w:rPr>
          <w:rFonts w:ascii="Times New Roman" w:hAnsi="Times New Roman"/>
          <w:sz w:val="24"/>
          <w:szCs w:val="24"/>
          <w:lang w:val="uk-UA"/>
        </w:rPr>
        <w:t xml:space="preserve"> Проведення судово-медичних експертиз може здійснюватись на підприємницьких засадах на підставі ліцензії, що видається МОЗ України».</w:t>
      </w:r>
    </w:p>
    <w:p w:rsidR="00435C4A" w:rsidRPr="00435C4A" w:rsidRDefault="00435C4A" w:rsidP="00435C4A">
      <w:pPr>
        <w:spacing w:after="0"/>
        <w:ind w:firstLine="567"/>
        <w:jc w:val="both"/>
        <w:rPr>
          <w:rFonts w:ascii="Times New Roman" w:hAnsi="Times New Roman"/>
          <w:sz w:val="24"/>
          <w:szCs w:val="24"/>
          <w:lang w:val="uk-UA"/>
        </w:rPr>
      </w:pPr>
      <w:r w:rsidRPr="00435C4A">
        <w:rPr>
          <w:rFonts w:ascii="Times New Roman" w:hAnsi="Times New Roman"/>
          <w:sz w:val="24"/>
          <w:szCs w:val="24"/>
          <w:lang w:val="uk-UA"/>
        </w:rPr>
        <w:t xml:space="preserve">Необхідно розробити механізми для забезпечення функціонування альтернативи державній судово-медичній експертизі, а саме не запроваджувати виключного права виконувати окреслені види експертиз лише державним установам. Привертаючи увагу до Інструкції № 6, яка є чинною, можна твердити, що положення підзаконного акту можна втілити на практику, якщо не включати норму </w:t>
      </w:r>
      <w:r w:rsidR="00EE46BF">
        <w:rPr>
          <w:rFonts w:ascii="Times New Roman" w:hAnsi="Times New Roman"/>
          <w:sz w:val="24"/>
          <w:szCs w:val="24"/>
          <w:lang w:val="uk-UA"/>
        </w:rPr>
        <w:t xml:space="preserve">п. 4.1 ст. 4 </w:t>
      </w:r>
      <w:r w:rsidRPr="00435C4A">
        <w:rPr>
          <w:rFonts w:ascii="Times New Roman" w:hAnsi="Times New Roman"/>
          <w:sz w:val="24"/>
          <w:szCs w:val="24"/>
          <w:lang w:val="uk-UA"/>
        </w:rPr>
        <w:t xml:space="preserve">законопроекту. До ст. 73 Основ можна внести зміни, передбачивши, що альтернативна медична експертиза може провадитись суб’єктами </w:t>
      </w:r>
      <w:r w:rsidR="00EE46BF">
        <w:rPr>
          <w:rFonts w:ascii="Times New Roman" w:hAnsi="Times New Roman"/>
          <w:sz w:val="24"/>
          <w:szCs w:val="24"/>
          <w:lang w:val="uk-UA"/>
        </w:rPr>
        <w:t>господарювання</w:t>
      </w:r>
      <w:r w:rsidRPr="00435C4A">
        <w:rPr>
          <w:rFonts w:ascii="Times New Roman" w:hAnsi="Times New Roman"/>
          <w:sz w:val="24"/>
          <w:szCs w:val="24"/>
          <w:lang w:val="uk-UA"/>
        </w:rPr>
        <w:t xml:space="preserve"> на підставі ліцензії, яка видається МОЗ України. До суб’єктів судово-</w:t>
      </w:r>
      <w:r w:rsidR="00EE46BF">
        <w:rPr>
          <w:rFonts w:ascii="Times New Roman" w:hAnsi="Times New Roman"/>
          <w:sz w:val="24"/>
          <w:szCs w:val="24"/>
          <w:lang w:val="uk-UA"/>
        </w:rPr>
        <w:t xml:space="preserve">медичної </w:t>
      </w:r>
      <w:r w:rsidRPr="00435C4A">
        <w:rPr>
          <w:rFonts w:ascii="Times New Roman" w:hAnsi="Times New Roman"/>
          <w:sz w:val="24"/>
          <w:szCs w:val="24"/>
          <w:lang w:val="uk-UA"/>
        </w:rPr>
        <w:t xml:space="preserve">експертної діяльності, які провадять судово-медичну експертизу на засадах підприємництва належать: а) недержавні спеціалізовані експертні установи; б) приватні судово-медичні експерти, зареєстровані </w:t>
      </w:r>
      <w:r w:rsidR="00EE46BF">
        <w:rPr>
          <w:rFonts w:ascii="Times New Roman" w:hAnsi="Times New Roman"/>
          <w:sz w:val="24"/>
          <w:szCs w:val="24"/>
          <w:lang w:val="uk-UA"/>
        </w:rPr>
        <w:t>в</w:t>
      </w:r>
      <w:r w:rsidRPr="00435C4A">
        <w:rPr>
          <w:rFonts w:ascii="Times New Roman" w:hAnsi="Times New Roman"/>
          <w:sz w:val="24"/>
          <w:szCs w:val="24"/>
          <w:lang w:val="uk-UA"/>
        </w:rPr>
        <w:t xml:space="preserve"> </w:t>
      </w:r>
      <w:r w:rsidR="00EE46BF">
        <w:rPr>
          <w:rFonts w:ascii="Times New Roman" w:hAnsi="Times New Roman"/>
          <w:sz w:val="24"/>
          <w:szCs w:val="24"/>
          <w:lang w:val="uk-UA"/>
        </w:rPr>
        <w:t>у</w:t>
      </w:r>
      <w:r w:rsidRPr="00435C4A">
        <w:rPr>
          <w:rFonts w:ascii="Times New Roman" w:hAnsi="Times New Roman"/>
          <w:sz w:val="24"/>
          <w:szCs w:val="24"/>
          <w:lang w:val="uk-UA"/>
        </w:rPr>
        <w:t>становленому порядку як фізичні особи-підприємці.</w:t>
      </w:r>
    </w:p>
    <w:p w:rsidR="00435C4A" w:rsidRPr="00435C4A" w:rsidRDefault="00435C4A" w:rsidP="00435C4A">
      <w:pPr>
        <w:pStyle w:val="a8"/>
        <w:spacing w:after="0"/>
        <w:ind w:left="0" w:firstLine="567"/>
        <w:jc w:val="both"/>
        <w:rPr>
          <w:rFonts w:ascii="Times New Roman" w:hAnsi="Times New Roman"/>
          <w:sz w:val="24"/>
          <w:szCs w:val="24"/>
          <w:lang w:val="uk-UA"/>
        </w:rPr>
      </w:pPr>
      <w:r w:rsidRPr="00435C4A">
        <w:rPr>
          <w:rFonts w:ascii="Times New Roman" w:hAnsi="Times New Roman"/>
          <w:sz w:val="24"/>
          <w:szCs w:val="24"/>
          <w:lang w:val="uk-UA"/>
        </w:rPr>
        <w:lastRenderedPageBreak/>
        <w:t>Це зумовлює необхідність внесення змін до ч. 1 ст. 9 Закону України «Про ліцензування певних видів господарської діяльності», а саме включення до переліку ліцензованої діяльності – «підприємницько</w:t>
      </w:r>
      <w:r w:rsidR="001C59FA">
        <w:rPr>
          <w:rFonts w:ascii="Times New Roman" w:hAnsi="Times New Roman"/>
          <w:sz w:val="24"/>
          <w:szCs w:val="24"/>
          <w:lang w:val="uk-UA"/>
        </w:rPr>
        <w:t>ї судово-експертної діяльності»</w:t>
      </w:r>
      <w:r w:rsidRPr="00435C4A">
        <w:rPr>
          <w:rFonts w:ascii="Times New Roman" w:hAnsi="Times New Roman"/>
          <w:sz w:val="24"/>
          <w:szCs w:val="24"/>
          <w:lang w:val="uk-UA"/>
        </w:rPr>
        <w:t xml:space="preserve">.  </w:t>
      </w:r>
    </w:p>
    <w:p w:rsidR="00C64A2B" w:rsidRPr="00C64A2B" w:rsidRDefault="00C64A2B" w:rsidP="00435C4A">
      <w:pPr>
        <w:spacing w:after="0"/>
        <w:ind w:firstLine="426"/>
        <w:jc w:val="both"/>
        <w:rPr>
          <w:rFonts w:ascii="Times New Roman" w:hAnsi="Times New Roman"/>
          <w:b/>
          <w:sz w:val="24"/>
          <w:szCs w:val="24"/>
          <w:lang w:val="uk-UA"/>
        </w:rPr>
      </w:pPr>
      <w:r w:rsidRPr="00C64A2B">
        <w:rPr>
          <w:rFonts w:ascii="Times New Roman" w:hAnsi="Times New Roman"/>
          <w:b/>
          <w:sz w:val="24"/>
          <w:szCs w:val="24"/>
          <w:lang w:val="uk-UA"/>
        </w:rPr>
        <w:t xml:space="preserve">ІІ. Щодо </w:t>
      </w:r>
      <w:proofErr w:type="spellStart"/>
      <w:r w:rsidRPr="00C64A2B">
        <w:rPr>
          <w:rFonts w:ascii="Times New Roman" w:hAnsi="Times New Roman"/>
          <w:b/>
          <w:sz w:val="24"/>
          <w:szCs w:val="24"/>
          <w:lang w:val="uk-UA"/>
        </w:rPr>
        <w:t>інституційності</w:t>
      </w:r>
      <w:proofErr w:type="spellEnd"/>
      <w:r w:rsidRPr="00C64A2B">
        <w:rPr>
          <w:rFonts w:ascii="Times New Roman" w:hAnsi="Times New Roman"/>
          <w:b/>
          <w:sz w:val="24"/>
          <w:szCs w:val="24"/>
          <w:lang w:val="uk-UA"/>
        </w:rPr>
        <w:t xml:space="preserve"> при проведенні судово-медичної експертизи.</w:t>
      </w:r>
    </w:p>
    <w:p w:rsidR="00435C4A" w:rsidRDefault="00435C4A" w:rsidP="00435C4A">
      <w:pPr>
        <w:spacing w:after="0"/>
        <w:ind w:firstLine="426"/>
        <w:jc w:val="both"/>
        <w:rPr>
          <w:rFonts w:ascii="Times New Roman" w:hAnsi="Times New Roman"/>
          <w:sz w:val="24"/>
          <w:szCs w:val="24"/>
          <w:lang w:val="uk-UA"/>
        </w:rPr>
      </w:pPr>
      <w:r w:rsidRPr="00435C4A">
        <w:rPr>
          <w:rFonts w:ascii="Times New Roman" w:hAnsi="Times New Roman"/>
          <w:sz w:val="24"/>
          <w:szCs w:val="24"/>
          <w:lang w:val="uk-UA"/>
        </w:rPr>
        <w:t xml:space="preserve">Звертаючи увагу на зарубіжний досвід, можна твердити, що є позитивний досвід виведення судово-експертних установ з підпорядкування МОЗ (для прикладу, Грузія, де функціонує юридична особа публічного права - Національне бюро судових експертиз імені </w:t>
      </w:r>
      <w:proofErr w:type="spellStart"/>
      <w:r w:rsidRPr="00435C4A">
        <w:rPr>
          <w:rFonts w:ascii="Times New Roman" w:hAnsi="Times New Roman"/>
          <w:sz w:val="24"/>
          <w:szCs w:val="24"/>
          <w:lang w:val="uk-UA"/>
        </w:rPr>
        <w:t>Левана</w:t>
      </w:r>
      <w:proofErr w:type="spellEnd"/>
      <w:r w:rsidRPr="00435C4A">
        <w:rPr>
          <w:rFonts w:ascii="Times New Roman" w:hAnsi="Times New Roman"/>
          <w:sz w:val="24"/>
          <w:szCs w:val="24"/>
          <w:lang w:val="uk-UA"/>
        </w:rPr>
        <w:t xml:space="preserve"> </w:t>
      </w:r>
      <w:proofErr w:type="spellStart"/>
      <w:r w:rsidRPr="00435C4A">
        <w:rPr>
          <w:rFonts w:ascii="Times New Roman" w:hAnsi="Times New Roman"/>
          <w:sz w:val="24"/>
          <w:szCs w:val="24"/>
          <w:lang w:val="uk-UA"/>
        </w:rPr>
        <w:t>Самхараулі</w:t>
      </w:r>
      <w:proofErr w:type="spellEnd"/>
      <w:r w:rsidRPr="00435C4A">
        <w:rPr>
          <w:rFonts w:ascii="Times New Roman" w:hAnsi="Times New Roman"/>
          <w:sz w:val="24"/>
          <w:szCs w:val="24"/>
          <w:lang w:val="uk-UA"/>
        </w:rPr>
        <w:t xml:space="preserve"> (далі – Бюро) - це </w:t>
      </w:r>
      <w:proofErr w:type="spellStart"/>
      <w:r w:rsidRPr="00435C4A">
        <w:rPr>
          <w:rFonts w:ascii="Times New Roman" w:hAnsi="Times New Roman"/>
          <w:sz w:val="24"/>
          <w:szCs w:val="24"/>
          <w:lang w:val="uk-UA"/>
        </w:rPr>
        <w:t>загальногрузинська</w:t>
      </w:r>
      <w:proofErr w:type="spellEnd"/>
      <w:r w:rsidRPr="00435C4A">
        <w:rPr>
          <w:rFonts w:ascii="Times New Roman" w:hAnsi="Times New Roman"/>
          <w:sz w:val="24"/>
          <w:szCs w:val="24"/>
          <w:lang w:val="uk-UA"/>
        </w:rPr>
        <w:t xml:space="preserve"> установа, заснована шляхом відокремлення державного майна, метою якої є проведення кваліфікованими експертами експертних досліджень, відповідно до встановлених законодавством правил, що видає висновки експертизи та повідомлення про неможливість складення висновку експертизи) або забезпечення проведення незалежних експертиз, зокрема недержавними експертними установами (для прикладу, РФ). </w:t>
      </w:r>
    </w:p>
    <w:p w:rsidR="00EE46BF" w:rsidRDefault="00EE46BF" w:rsidP="00435C4A">
      <w:pPr>
        <w:spacing w:after="0"/>
        <w:ind w:firstLine="426"/>
        <w:jc w:val="both"/>
        <w:rPr>
          <w:rFonts w:ascii="Times New Roman" w:hAnsi="Times New Roman"/>
          <w:sz w:val="24"/>
          <w:szCs w:val="24"/>
          <w:lang w:val="uk-UA"/>
        </w:rPr>
      </w:pPr>
      <w:r>
        <w:rPr>
          <w:rFonts w:ascii="Times New Roman" w:hAnsi="Times New Roman"/>
          <w:sz w:val="24"/>
          <w:szCs w:val="24"/>
          <w:lang w:val="uk-UA"/>
        </w:rPr>
        <w:t xml:space="preserve">Проте, якщо утворити новий орган - </w:t>
      </w:r>
      <w:r w:rsidRPr="00EE46BF">
        <w:rPr>
          <w:rFonts w:ascii="Times New Roman" w:hAnsi="Times New Roman"/>
          <w:sz w:val="24"/>
          <w:szCs w:val="24"/>
          <w:lang w:val="uk-UA"/>
        </w:rPr>
        <w:t>Державн</w:t>
      </w:r>
      <w:r>
        <w:rPr>
          <w:rFonts w:ascii="Times New Roman" w:hAnsi="Times New Roman"/>
          <w:sz w:val="24"/>
          <w:szCs w:val="24"/>
          <w:lang w:val="uk-UA"/>
        </w:rPr>
        <w:t>у</w:t>
      </w:r>
      <w:r w:rsidRPr="00EE46BF">
        <w:rPr>
          <w:rFonts w:ascii="Times New Roman" w:hAnsi="Times New Roman"/>
          <w:sz w:val="24"/>
          <w:szCs w:val="24"/>
          <w:lang w:val="uk-UA"/>
        </w:rPr>
        <w:t xml:space="preserve"> судово-медичн</w:t>
      </w:r>
      <w:r>
        <w:rPr>
          <w:rFonts w:ascii="Times New Roman" w:hAnsi="Times New Roman"/>
          <w:sz w:val="24"/>
          <w:szCs w:val="24"/>
          <w:lang w:val="uk-UA"/>
        </w:rPr>
        <w:t>у</w:t>
      </w:r>
      <w:r w:rsidRPr="00EE46BF">
        <w:rPr>
          <w:rFonts w:ascii="Times New Roman" w:hAnsi="Times New Roman"/>
          <w:sz w:val="24"/>
          <w:szCs w:val="24"/>
          <w:lang w:val="uk-UA"/>
        </w:rPr>
        <w:t xml:space="preserve"> експертн</w:t>
      </w:r>
      <w:r>
        <w:rPr>
          <w:rFonts w:ascii="Times New Roman" w:hAnsi="Times New Roman"/>
          <w:sz w:val="24"/>
          <w:szCs w:val="24"/>
          <w:lang w:val="uk-UA"/>
        </w:rPr>
        <w:t>у</w:t>
      </w:r>
      <w:r w:rsidRPr="00EE46BF">
        <w:rPr>
          <w:rFonts w:ascii="Times New Roman" w:hAnsi="Times New Roman"/>
          <w:sz w:val="24"/>
          <w:szCs w:val="24"/>
          <w:lang w:val="uk-UA"/>
        </w:rPr>
        <w:t xml:space="preserve"> служб</w:t>
      </w:r>
      <w:r>
        <w:rPr>
          <w:rFonts w:ascii="Times New Roman" w:hAnsi="Times New Roman"/>
          <w:sz w:val="24"/>
          <w:szCs w:val="24"/>
          <w:lang w:val="uk-UA"/>
        </w:rPr>
        <w:t>у</w:t>
      </w:r>
      <w:r w:rsidRPr="00EE46BF">
        <w:rPr>
          <w:rFonts w:ascii="Times New Roman" w:hAnsi="Times New Roman"/>
          <w:sz w:val="24"/>
          <w:szCs w:val="24"/>
          <w:lang w:val="uk-UA"/>
        </w:rPr>
        <w:t xml:space="preserve"> України</w:t>
      </w:r>
      <w:r>
        <w:rPr>
          <w:rFonts w:ascii="Times New Roman" w:hAnsi="Times New Roman"/>
          <w:sz w:val="24"/>
          <w:szCs w:val="24"/>
          <w:lang w:val="uk-UA"/>
        </w:rPr>
        <w:t>, то теж виникає чимало питань, зокрема:</w:t>
      </w:r>
    </w:p>
    <w:p w:rsidR="008D37C4" w:rsidRPr="00D463BC" w:rsidRDefault="008D37C4" w:rsidP="008D37C4">
      <w:pPr>
        <w:pStyle w:val="a8"/>
        <w:numPr>
          <w:ilvl w:val="0"/>
          <w:numId w:val="2"/>
        </w:numPr>
        <w:spacing w:after="0"/>
        <w:jc w:val="both"/>
        <w:rPr>
          <w:rFonts w:ascii="Times New Roman" w:hAnsi="Times New Roman"/>
          <w:sz w:val="24"/>
          <w:szCs w:val="24"/>
          <w:lang w:val="uk-UA"/>
        </w:rPr>
      </w:pPr>
      <w:r w:rsidRPr="008D37C4">
        <w:rPr>
          <w:rFonts w:ascii="Times New Roman" w:hAnsi="Times New Roman"/>
          <w:sz w:val="24"/>
          <w:szCs w:val="24"/>
          <w:lang w:val="uk-UA"/>
        </w:rPr>
        <w:t>У Прикінцевих положеннях законопроекту передбачено викласти ч. 2 ст. 7 Закону України в новій редакції, а відтак, після оновлення положення видається незрозумілим, який же суб’єкт проводитиме судово-психіатричні експертизи, якщо від експертної діяльності відлучають науково-дослідні установи судових експертиз, судово-медичні та судово-психіатричні установи Міністерства охорони здоров'я України. Як випливає зі змісту</w:t>
      </w:r>
      <w:r>
        <w:rPr>
          <w:rFonts w:ascii="Times New Roman" w:hAnsi="Times New Roman"/>
          <w:sz w:val="24"/>
          <w:szCs w:val="24"/>
          <w:lang w:val="uk-UA"/>
        </w:rPr>
        <w:t xml:space="preserve"> законопроекту, </w:t>
      </w:r>
      <w:r w:rsidR="00D463BC" w:rsidRPr="00EE46BF">
        <w:rPr>
          <w:rFonts w:ascii="Times New Roman" w:hAnsi="Times New Roman"/>
          <w:sz w:val="24"/>
          <w:szCs w:val="24"/>
          <w:lang w:val="uk-UA"/>
        </w:rPr>
        <w:t>Державн</w:t>
      </w:r>
      <w:r w:rsidR="00D463BC">
        <w:rPr>
          <w:rFonts w:ascii="Times New Roman" w:hAnsi="Times New Roman"/>
          <w:sz w:val="24"/>
          <w:szCs w:val="24"/>
          <w:lang w:val="uk-UA"/>
        </w:rPr>
        <w:t>а</w:t>
      </w:r>
      <w:r w:rsidR="00D463BC" w:rsidRPr="00EE46BF">
        <w:rPr>
          <w:rFonts w:ascii="Times New Roman" w:hAnsi="Times New Roman"/>
          <w:sz w:val="24"/>
          <w:szCs w:val="24"/>
          <w:lang w:val="uk-UA"/>
        </w:rPr>
        <w:t xml:space="preserve"> судово-медичн</w:t>
      </w:r>
      <w:r w:rsidR="00D463BC">
        <w:rPr>
          <w:rFonts w:ascii="Times New Roman" w:hAnsi="Times New Roman"/>
          <w:sz w:val="24"/>
          <w:szCs w:val="24"/>
          <w:lang w:val="uk-UA"/>
        </w:rPr>
        <w:t>а</w:t>
      </w:r>
      <w:r w:rsidR="00D463BC" w:rsidRPr="00EE46BF">
        <w:rPr>
          <w:rFonts w:ascii="Times New Roman" w:hAnsi="Times New Roman"/>
          <w:sz w:val="24"/>
          <w:szCs w:val="24"/>
          <w:lang w:val="uk-UA"/>
        </w:rPr>
        <w:t xml:space="preserve"> експертн</w:t>
      </w:r>
      <w:r w:rsidR="00D463BC">
        <w:rPr>
          <w:rFonts w:ascii="Times New Roman" w:hAnsi="Times New Roman"/>
          <w:sz w:val="24"/>
          <w:szCs w:val="24"/>
          <w:lang w:val="uk-UA"/>
        </w:rPr>
        <w:t>а</w:t>
      </w:r>
      <w:r w:rsidR="00D463BC" w:rsidRPr="00EE46BF">
        <w:rPr>
          <w:rFonts w:ascii="Times New Roman" w:hAnsi="Times New Roman"/>
          <w:sz w:val="24"/>
          <w:szCs w:val="24"/>
          <w:lang w:val="uk-UA"/>
        </w:rPr>
        <w:t xml:space="preserve"> служб</w:t>
      </w:r>
      <w:r w:rsidR="00D463BC">
        <w:rPr>
          <w:rFonts w:ascii="Times New Roman" w:hAnsi="Times New Roman"/>
          <w:sz w:val="24"/>
          <w:szCs w:val="24"/>
          <w:lang w:val="uk-UA"/>
        </w:rPr>
        <w:t>а</w:t>
      </w:r>
      <w:r w:rsidR="00D463BC" w:rsidRPr="00EE46BF">
        <w:rPr>
          <w:rFonts w:ascii="Times New Roman" w:hAnsi="Times New Roman"/>
          <w:sz w:val="24"/>
          <w:szCs w:val="24"/>
          <w:lang w:val="uk-UA"/>
        </w:rPr>
        <w:t xml:space="preserve"> України</w:t>
      </w:r>
      <w:r w:rsidR="00D463BC">
        <w:rPr>
          <w:rFonts w:ascii="Times New Roman" w:hAnsi="Times New Roman"/>
          <w:sz w:val="24"/>
          <w:szCs w:val="24"/>
          <w:lang w:val="uk-UA"/>
        </w:rPr>
        <w:t xml:space="preserve"> не займається судовою психіатрією. За логікою </w:t>
      </w:r>
      <w:proofErr w:type="spellStart"/>
      <w:r w:rsidR="00D463BC">
        <w:rPr>
          <w:rFonts w:ascii="Times New Roman" w:hAnsi="Times New Roman"/>
          <w:sz w:val="24"/>
          <w:szCs w:val="24"/>
          <w:lang w:val="uk-UA"/>
        </w:rPr>
        <w:t>нормо</w:t>
      </w:r>
      <w:r w:rsidR="00E3182D">
        <w:rPr>
          <w:rFonts w:ascii="Times New Roman" w:hAnsi="Times New Roman"/>
          <w:sz w:val="24"/>
          <w:szCs w:val="24"/>
          <w:lang w:val="uk-UA"/>
        </w:rPr>
        <w:t>проектанта</w:t>
      </w:r>
      <w:proofErr w:type="spellEnd"/>
      <w:r w:rsidR="00E3182D">
        <w:rPr>
          <w:rFonts w:ascii="Times New Roman" w:hAnsi="Times New Roman"/>
          <w:sz w:val="24"/>
          <w:szCs w:val="24"/>
          <w:lang w:val="uk-UA"/>
        </w:rPr>
        <w:t xml:space="preserve"> потрібно, видається, створити ще</w:t>
      </w:r>
      <w:r w:rsidR="00D463BC">
        <w:rPr>
          <w:rFonts w:ascii="Times New Roman" w:hAnsi="Times New Roman"/>
          <w:sz w:val="24"/>
          <w:szCs w:val="24"/>
          <w:lang w:val="uk-UA"/>
        </w:rPr>
        <w:t xml:space="preserve"> одну державну службу для проведення судово-психіатричних експертиз. Можливо, доречно створити нову інституцію, але позначивши Державна служба медичних експертиз України, діяльність якої покриватиме проведення усіх видів медичних експертиз, що передбачені розділом ІХ Закону України «Основи законодавства України про охорону здоров’я». </w:t>
      </w:r>
    </w:p>
    <w:p w:rsidR="008D37C4" w:rsidRDefault="00945431" w:rsidP="00B168DD">
      <w:pPr>
        <w:pStyle w:val="a8"/>
        <w:numPr>
          <w:ilvl w:val="0"/>
          <w:numId w:val="2"/>
        </w:numPr>
        <w:spacing w:after="0"/>
        <w:jc w:val="both"/>
        <w:rPr>
          <w:rFonts w:ascii="Times New Roman" w:hAnsi="Times New Roman"/>
          <w:sz w:val="24"/>
          <w:szCs w:val="24"/>
          <w:lang w:val="uk-UA"/>
        </w:rPr>
      </w:pPr>
      <w:r>
        <w:rPr>
          <w:rFonts w:ascii="Times New Roman" w:hAnsi="Times New Roman"/>
          <w:sz w:val="24"/>
          <w:szCs w:val="24"/>
          <w:lang w:val="uk-UA"/>
        </w:rPr>
        <w:t xml:space="preserve">У ст. 16 законопроекту, яка визначає основи правового статусу </w:t>
      </w:r>
      <w:r w:rsidRPr="00EE46BF">
        <w:rPr>
          <w:rFonts w:ascii="Times New Roman" w:hAnsi="Times New Roman"/>
          <w:sz w:val="24"/>
          <w:szCs w:val="24"/>
          <w:lang w:val="uk-UA"/>
        </w:rPr>
        <w:t>Державн</w:t>
      </w:r>
      <w:r>
        <w:rPr>
          <w:rFonts w:ascii="Times New Roman" w:hAnsi="Times New Roman"/>
          <w:sz w:val="24"/>
          <w:szCs w:val="24"/>
          <w:lang w:val="uk-UA"/>
        </w:rPr>
        <w:t>ої</w:t>
      </w:r>
      <w:r w:rsidRPr="00EE46BF">
        <w:rPr>
          <w:rFonts w:ascii="Times New Roman" w:hAnsi="Times New Roman"/>
          <w:sz w:val="24"/>
          <w:szCs w:val="24"/>
          <w:lang w:val="uk-UA"/>
        </w:rPr>
        <w:t xml:space="preserve"> судово-медичн</w:t>
      </w:r>
      <w:r>
        <w:rPr>
          <w:rFonts w:ascii="Times New Roman" w:hAnsi="Times New Roman"/>
          <w:sz w:val="24"/>
          <w:szCs w:val="24"/>
          <w:lang w:val="uk-UA"/>
        </w:rPr>
        <w:t>ої</w:t>
      </w:r>
      <w:r w:rsidRPr="00EE46BF">
        <w:rPr>
          <w:rFonts w:ascii="Times New Roman" w:hAnsi="Times New Roman"/>
          <w:sz w:val="24"/>
          <w:szCs w:val="24"/>
          <w:lang w:val="uk-UA"/>
        </w:rPr>
        <w:t xml:space="preserve"> експертн</w:t>
      </w:r>
      <w:r>
        <w:rPr>
          <w:rFonts w:ascii="Times New Roman" w:hAnsi="Times New Roman"/>
          <w:sz w:val="24"/>
          <w:szCs w:val="24"/>
          <w:lang w:val="uk-UA"/>
        </w:rPr>
        <w:t>ої</w:t>
      </w:r>
      <w:r w:rsidRPr="00EE46BF">
        <w:rPr>
          <w:rFonts w:ascii="Times New Roman" w:hAnsi="Times New Roman"/>
          <w:sz w:val="24"/>
          <w:szCs w:val="24"/>
          <w:lang w:val="uk-UA"/>
        </w:rPr>
        <w:t xml:space="preserve"> служб</w:t>
      </w:r>
      <w:r>
        <w:rPr>
          <w:rFonts w:ascii="Times New Roman" w:hAnsi="Times New Roman"/>
          <w:sz w:val="24"/>
          <w:szCs w:val="24"/>
          <w:lang w:val="uk-UA"/>
        </w:rPr>
        <w:t>и</w:t>
      </w:r>
      <w:r w:rsidRPr="00EE46BF">
        <w:rPr>
          <w:rFonts w:ascii="Times New Roman" w:hAnsi="Times New Roman"/>
          <w:sz w:val="24"/>
          <w:szCs w:val="24"/>
          <w:lang w:val="uk-UA"/>
        </w:rPr>
        <w:t xml:space="preserve"> України</w:t>
      </w:r>
      <w:r>
        <w:rPr>
          <w:rFonts w:ascii="Times New Roman" w:hAnsi="Times New Roman"/>
          <w:sz w:val="24"/>
          <w:szCs w:val="24"/>
          <w:lang w:val="uk-UA"/>
        </w:rPr>
        <w:t>, не міститься вказівки на підпорядкування, а лише в ст. 18 проекту йдеться про підзвітність і підконтрольність Голови Служби Верховній Раді України. Як видається, статус проектної новоствореної інституції потребує деталізації в законопроекті</w:t>
      </w:r>
      <w:r w:rsidR="0019664D">
        <w:rPr>
          <w:rFonts w:ascii="Times New Roman" w:hAnsi="Times New Roman"/>
          <w:sz w:val="24"/>
          <w:szCs w:val="24"/>
          <w:lang w:val="uk-UA"/>
        </w:rPr>
        <w:t xml:space="preserve"> та Голова Служби не повинен бути підконтрольний парламенту</w:t>
      </w:r>
      <w:r>
        <w:rPr>
          <w:rFonts w:ascii="Times New Roman" w:hAnsi="Times New Roman"/>
          <w:sz w:val="24"/>
          <w:szCs w:val="24"/>
          <w:lang w:val="uk-UA"/>
        </w:rPr>
        <w:t xml:space="preserve">. </w:t>
      </w:r>
    </w:p>
    <w:p w:rsidR="00D463BC" w:rsidRPr="0019664D" w:rsidRDefault="00C64A2B" w:rsidP="008D37C4">
      <w:pPr>
        <w:pStyle w:val="a8"/>
        <w:spacing w:after="0"/>
        <w:ind w:left="786"/>
        <w:jc w:val="both"/>
        <w:rPr>
          <w:rFonts w:ascii="Times New Roman" w:hAnsi="Times New Roman"/>
          <w:b/>
          <w:sz w:val="24"/>
          <w:szCs w:val="24"/>
          <w:lang w:val="uk-UA"/>
        </w:rPr>
      </w:pPr>
      <w:r w:rsidRPr="0019664D">
        <w:rPr>
          <w:rFonts w:ascii="Times New Roman" w:hAnsi="Times New Roman"/>
          <w:b/>
          <w:sz w:val="24"/>
          <w:szCs w:val="24"/>
          <w:lang w:val="uk-UA"/>
        </w:rPr>
        <w:t xml:space="preserve">ІІІ. Щодо </w:t>
      </w:r>
      <w:proofErr w:type="spellStart"/>
      <w:r w:rsidRPr="0019664D">
        <w:rPr>
          <w:rFonts w:ascii="Times New Roman" w:hAnsi="Times New Roman"/>
          <w:b/>
          <w:sz w:val="24"/>
          <w:szCs w:val="24"/>
          <w:lang w:val="uk-UA"/>
        </w:rPr>
        <w:t>контентуального</w:t>
      </w:r>
      <w:proofErr w:type="spellEnd"/>
      <w:r w:rsidRPr="0019664D">
        <w:rPr>
          <w:rFonts w:ascii="Times New Roman" w:hAnsi="Times New Roman"/>
          <w:b/>
          <w:sz w:val="24"/>
          <w:szCs w:val="24"/>
          <w:lang w:val="uk-UA"/>
        </w:rPr>
        <w:t xml:space="preserve"> наповнення проекту. </w:t>
      </w:r>
    </w:p>
    <w:p w:rsidR="00C64A2B" w:rsidRDefault="00C64A2B" w:rsidP="00C841B0">
      <w:pPr>
        <w:pStyle w:val="a8"/>
        <w:spacing w:after="0"/>
        <w:ind w:left="0" w:firstLine="786"/>
        <w:jc w:val="both"/>
        <w:rPr>
          <w:rFonts w:ascii="Times New Roman" w:hAnsi="Times New Roman"/>
          <w:sz w:val="24"/>
          <w:szCs w:val="24"/>
          <w:lang w:val="uk-UA"/>
        </w:rPr>
      </w:pPr>
      <w:r>
        <w:rPr>
          <w:rFonts w:ascii="Times New Roman" w:hAnsi="Times New Roman"/>
          <w:sz w:val="24"/>
          <w:szCs w:val="24"/>
          <w:lang w:val="uk-UA"/>
        </w:rPr>
        <w:t xml:space="preserve">Видається, що пропонований проект є компіляцією Закону України «Про судову експертизу» та наказу МОЗ України «Про розвиток та </w:t>
      </w:r>
      <w:r w:rsidR="00C841B0">
        <w:rPr>
          <w:rFonts w:ascii="Times New Roman" w:hAnsi="Times New Roman"/>
          <w:sz w:val="24"/>
          <w:szCs w:val="24"/>
          <w:lang w:val="uk-UA"/>
        </w:rPr>
        <w:t>в</w:t>
      </w:r>
      <w:r>
        <w:rPr>
          <w:rFonts w:ascii="Times New Roman" w:hAnsi="Times New Roman"/>
          <w:sz w:val="24"/>
          <w:szCs w:val="24"/>
          <w:lang w:val="uk-UA"/>
        </w:rPr>
        <w:t xml:space="preserve">досконалення </w:t>
      </w:r>
      <w:r w:rsidR="00C841B0">
        <w:rPr>
          <w:rFonts w:ascii="Times New Roman" w:hAnsi="Times New Roman"/>
          <w:sz w:val="24"/>
          <w:szCs w:val="24"/>
          <w:lang w:val="uk-UA"/>
        </w:rPr>
        <w:t>судово-медичної служби України</w:t>
      </w:r>
      <w:r>
        <w:rPr>
          <w:rFonts w:ascii="Times New Roman" w:hAnsi="Times New Roman"/>
          <w:sz w:val="24"/>
          <w:szCs w:val="24"/>
          <w:lang w:val="uk-UA"/>
        </w:rPr>
        <w:t>»</w:t>
      </w:r>
      <w:r w:rsidR="00C841B0">
        <w:rPr>
          <w:rFonts w:ascii="Times New Roman" w:hAnsi="Times New Roman"/>
          <w:sz w:val="24"/>
          <w:szCs w:val="24"/>
          <w:lang w:val="uk-UA"/>
        </w:rPr>
        <w:t xml:space="preserve"> від 17.01.1995 р. № 6 з елементами новизни, що не</w:t>
      </w:r>
      <w:r w:rsidR="0019664D">
        <w:rPr>
          <w:rFonts w:ascii="Times New Roman" w:hAnsi="Times New Roman"/>
          <w:sz w:val="24"/>
          <w:szCs w:val="24"/>
          <w:lang w:val="uk-UA"/>
        </w:rPr>
        <w:t xml:space="preserve"> до кінця органічно вливатимуться у</w:t>
      </w:r>
      <w:r w:rsidR="00C841B0">
        <w:rPr>
          <w:rFonts w:ascii="Times New Roman" w:hAnsi="Times New Roman"/>
          <w:sz w:val="24"/>
          <w:szCs w:val="24"/>
          <w:lang w:val="uk-UA"/>
        </w:rPr>
        <w:t xml:space="preserve"> чинну нормативно-правову базу</w:t>
      </w:r>
      <w:r w:rsidR="0019664D">
        <w:rPr>
          <w:rFonts w:ascii="Times New Roman" w:hAnsi="Times New Roman"/>
          <w:sz w:val="24"/>
          <w:szCs w:val="24"/>
          <w:lang w:val="uk-UA"/>
        </w:rPr>
        <w:t xml:space="preserve"> України</w:t>
      </w:r>
      <w:r w:rsidR="00C841B0">
        <w:rPr>
          <w:rFonts w:ascii="Times New Roman" w:hAnsi="Times New Roman"/>
          <w:sz w:val="24"/>
          <w:szCs w:val="24"/>
          <w:lang w:val="uk-UA"/>
        </w:rPr>
        <w:t>, а також не усунуть проблем на практиці</w:t>
      </w:r>
      <w:r w:rsidR="0019664D">
        <w:rPr>
          <w:rFonts w:ascii="Times New Roman" w:hAnsi="Times New Roman"/>
          <w:sz w:val="24"/>
          <w:szCs w:val="24"/>
          <w:lang w:val="uk-UA"/>
        </w:rPr>
        <w:t>, зокрема судовій</w:t>
      </w:r>
      <w:r w:rsidR="00C841B0">
        <w:rPr>
          <w:rFonts w:ascii="Times New Roman" w:hAnsi="Times New Roman"/>
          <w:sz w:val="24"/>
          <w:szCs w:val="24"/>
          <w:lang w:val="uk-UA"/>
        </w:rPr>
        <w:t xml:space="preserve">. </w:t>
      </w:r>
    </w:p>
    <w:p w:rsidR="00C841B0" w:rsidRPr="008D37C4" w:rsidRDefault="00C841B0" w:rsidP="00C841B0">
      <w:pPr>
        <w:pStyle w:val="a8"/>
        <w:spacing w:after="0"/>
        <w:ind w:left="0" w:firstLine="786"/>
        <w:jc w:val="both"/>
        <w:rPr>
          <w:rFonts w:ascii="Times New Roman" w:hAnsi="Times New Roman"/>
          <w:sz w:val="24"/>
          <w:szCs w:val="24"/>
          <w:lang w:val="uk-UA"/>
        </w:rPr>
      </w:pPr>
    </w:p>
    <w:p w:rsidR="006A3E26" w:rsidRPr="00435C4A" w:rsidRDefault="00945431" w:rsidP="006A3E26">
      <w:pPr>
        <w:spacing w:after="0"/>
        <w:rPr>
          <w:rFonts w:ascii="Times New Roman" w:hAnsi="Times New Roman"/>
          <w:b/>
          <w:sz w:val="24"/>
          <w:szCs w:val="24"/>
          <w:lang w:val="uk-UA"/>
        </w:rPr>
      </w:pPr>
      <w:r>
        <w:rPr>
          <w:rFonts w:ascii="Times New Roman" w:hAnsi="Times New Roman"/>
          <w:b/>
          <w:sz w:val="24"/>
          <w:szCs w:val="24"/>
          <w:lang w:val="uk-UA"/>
        </w:rPr>
        <w:t>Пропозиції до тексту законопроекту:</w:t>
      </w:r>
    </w:p>
    <w:tbl>
      <w:tblPr>
        <w:tblStyle w:val="a5"/>
        <w:tblW w:w="0" w:type="auto"/>
        <w:tblLook w:val="04A0"/>
      </w:tblPr>
      <w:tblGrid>
        <w:gridCol w:w="814"/>
        <w:gridCol w:w="3064"/>
        <w:gridCol w:w="3996"/>
        <w:gridCol w:w="6912"/>
      </w:tblGrid>
      <w:tr w:rsidR="007A7D58" w:rsidRPr="00435C4A" w:rsidTr="00AA4C6E">
        <w:trPr>
          <w:trHeight w:val="123"/>
        </w:trPr>
        <w:tc>
          <w:tcPr>
            <w:tcW w:w="817" w:type="dxa"/>
          </w:tcPr>
          <w:p w:rsidR="006A3E26" w:rsidRPr="00435C4A" w:rsidRDefault="006A3E26" w:rsidP="00AA4C6E">
            <w:pPr>
              <w:jc w:val="center"/>
              <w:rPr>
                <w:rFonts w:ascii="Times New Roman" w:hAnsi="Times New Roman"/>
                <w:b/>
                <w:sz w:val="24"/>
                <w:szCs w:val="24"/>
                <w:lang w:val="uk-UA"/>
              </w:rPr>
            </w:pPr>
            <w:r w:rsidRPr="00435C4A">
              <w:rPr>
                <w:rFonts w:ascii="Times New Roman" w:hAnsi="Times New Roman"/>
                <w:b/>
                <w:sz w:val="24"/>
                <w:szCs w:val="24"/>
                <w:lang w:val="uk-UA"/>
              </w:rPr>
              <w:t>№з/п</w:t>
            </w:r>
          </w:p>
        </w:tc>
        <w:tc>
          <w:tcPr>
            <w:tcW w:w="3127" w:type="dxa"/>
          </w:tcPr>
          <w:p w:rsidR="006A3E26" w:rsidRPr="00435C4A" w:rsidRDefault="006A3E26" w:rsidP="00AA4C6E">
            <w:pPr>
              <w:pStyle w:val="a8"/>
              <w:ind w:left="0"/>
              <w:jc w:val="both"/>
              <w:rPr>
                <w:rFonts w:ascii="Times New Roman" w:hAnsi="Times New Roman"/>
                <w:b/>
                <w:sz w:val="24"/>
                <w:szCs w:val="24"/>
                <w:lang w:val="uk-UA"/>
              </w:rPr>
            </w:pPr>
            <w:r w:rsidRPr="00435C4A">
              <w:rPr>
                <w:rFonts w:ascii="Times New Roman" w:hAnsi="Times New Roman"/>
                <w:b/>
                <w:sz w:val="24"/>
                <w:szCs w:val="24"/>
                <w:lang w:val="uk-UA"/>
              </w:rPr>
              <w:t xml:space="preserve">Чинна редакція </w:t>
            </w:r>
          </w:p>
        </w:tc>
        <w:tc>
          <w:tcPr>
            <w:tcW w:w="4134" w:type="dxa"/>
          </w:tcPr>
          <w:p w:rsidR="006A3E26" w:rsidRPr="00435C4A" w:rsidRDefault="006A3E26" w:rsidP="00AA4C6E">
            <w:pPr>
              <w:pStyle w:val="a8"/>
              <w:ind w:left="0"/>
              <w:jc w:val="both"/>
              <w:rPr>
                <w:rFonts w:ascii="Times New Roman" w:hAnsi="Times New Roman"/>
                <w:b/>
                <w:sz w:val="24"/>
                <w:szCs w:val="24"/>
                <w:lang w:val="uk-UA"/>
              </w:rPr>
            </w:pPr>
            <w:r w:rsidRPr="00435C4A">
              <w:rPr>
                <w:rFonts w:ascii="Times New Roman" w:hAnsi="Times New Roman"/>
                <w:b/>
                <w:sz w:val="24"/>
                <w:szCs w:val="24"/>
                <w:lang w:val="uk-UA"/>
              </w:rPr>
              <w:t xml:space="preserve">Пропозиції </w:t>
            </w:r>
          </w:p>
        </w:tc>
        <w:tc>
          <w:tcPr>
            <w:tcW w:w="7192" w:type="dxa"/>
          </w:tcPr>
          <w:p w:rsidR="006A3E26" w:rsidRPr="00435C4A" w:rsidRDefault="006A3E26" w:rsidP="00AA4C6E">
            <w:pPr>
              <w:pStyle w:val="a8"/>
              <w:ind w:left="0"/>
              <w:jc w:val="both"/>
              <w:rPr>
                <w:rFonts w:ascii="Times New Roman" w:hAnsi="Times New Roman"/>
                <w:b/>
                <w:sz w:val="24"/>
                <w:szCs w:val="24"/>
                <w:lang w:val="uk-UA"/>
              </w:rPr>
            </w:pPr>
            <w:r w:rsidRPr="00435C4A">
              <w:rPr>
                <w:rFonts w:ascii="Times New Roman" w:hAnsi="Times New Roman"/>
                <w:b/>
                <w:sz w:val="24"/>
                <w:szCs w:val="24"/>
                <w:lang w:val="uk-UA"/>
              </w:rPr>
              <w:t>Коментар</w:t>
            </w:r>
          </w:p>
        </w:tc>
      </w:tr>
      <w:tr w:rsidR="007A7D58" w:rsidRPr="00435C4A" w:rsidTr="00AA4C6E">
        <w:trPr>
          <w:trHeight w:val="123"/>
        </w:trPr>
        <w:tc>
          <w:tcPr>
            <w:tcW w:w="817" w:type="dxa"/>
          </w:tcPr>
          <w:p w:rsidR="006A3E26" w:rsidRPr="00435C4A" w:rsidRDefault="00761486" w:rsidP="00AA4C6E">
            <w:pPr>
              <w:jc w:val="center"/>
              <w:rPr>
                <w:rFonts w:ascii="Times New Roman" w:hAnsi="Times New Roman"/>
                <w:sz w:val="24"/>
                <w:szCs w:val="24"/>
                <w:lang w:val="uk-UA"/>
              </w:rPr>
            </w:pPr>
            <w:r w:rsidRPr="00435C4A">
              <w:rPr>
                <w:rFonts w:ascii="Times New Roman" w:hAnsi="Times New Roman"/>
                <w:sz w:val="24"/>
                <w:szCs w:val="24"/>
                <w:lang w:val="uk-UA"/>
              </w:rPr>
              <w:lastRenderedPageBreak/>
              <w:t>1.</w:t>
            </w:r>
          </w:p>
        </w:tc>
        <w:tc>
          <w:tcPr>
            <w:tcW w:w="3127" w:type="dxa"/>
          </w:tcPr>
          <w:p w:rsidR="00F92DC3" w:rsidRPr="00435C4A" w:rsidRDefault="00F92DC3" w:rsidP="00F92DC3">
            <w:pPr>
              <w:pStyle w:val="a9"/>
              <w:jc w:val="both"/>
              <w:rPr>
                <w:lang w:val="uk-UA"/>
              </w:rPr>
            </w:pPr>
            <w:r w:rsidRPr="00435C4A">
              <w:rPr>
                <w:lang w:val="uk-UA"/>
              </w:rPr>
              <w:t>3.7.3. лікарі лікувально-профілактич</w:t>
            </w:r>
            <w:r w:rsidR="0019664D">
              <w:rPr>
                <w:lang w:val="uk-UA"/>
              </w:rPr>
              <w:t>них закладів з дозволу слідчого</w:t>
            </w:r>
            <w:r w:rsidRPr="00435C4A">
              <w:rPr>
                <w:lang w:val="uk-UA"/>
              </w:rPr>
              <w:t xml:space="preserve"> </w:t>
            </w:r>
          </w:p>
          <w:p w:rsidR="006A3E26" w:rsidRPr="00435C4A" w:rsidRDefault="006A3E26" w:rsidP="00AA4C6E">
            <w:pPr>
              <w:pStyle w:val="a8"/>
              <w:ind w:left="0"/>
              <w:jc w:val="both"/>
              <w:rPr>
                <w:rFonts w:ascii="Times New Roman" w:hAnsi="Times New Roman"/>
                <w:sz w:val="24"/>
                <w:szCs w:val="24"/>
                <w:lang w:val="uk-UA"/>
              </w:rPr>
            </w:pPr>
          </w:p>
        </w:tc>
        <w:tc>
          <w:tcPr>
            <w:tcW w:w="4134" w:type="dxa"/>
          </w:tcPr>
          <w:p w:rsidR="00F92DC3" w:rsidRPr="00435C4A" w:rsidRDefault="00F92DC3" w:rsidP="00F92DC3">
            <w:pPr>
              <w:pStyle w:val="a9"/>
              <w:jc w:val="both"/>
              <w:rPr>
                <w:lang w:val="uk-UA"/>
              </w:rPr>
            </w:pPr>
            <w:r w:rsidRPr="00435C4A">
              <w:rPr>
                <w:lang w:val="uk-UA"/>
              </w:rPr>
              <w:t xml:space="preserve">3.7.3. лікарі закладів охорони здоров’я з дозволу слідчого </w:t>
            </w:r>
          </w:p>
          <w:p w:rsidR="006A3E26" w:rsidRPr="00435C4A" w:rsidRDefault="006A3E26" w:rsidP="00AA4C6E">
            <w:pPr>
              <w:pStyle w:val="a8"/>
              <w:ind w:left="0"/>
              <w:jc w:val="both"/>
              <w:rPr>
                <w:rFonts w:ascii="Times New Roman" w:hAnsi="Times New Roman"/>
                <w:sz w:val="24"/>
                <w:szCs w:val="24"/>
                <w:lang w:val="uk-UA"/>
              </w:rPr>
            </w:pPr>
          </w:p>
        </w:tc>
        <w:tc>
          <w:tcPr>
            <w:tcW w:w="7192" w:type="dxa"/>
          </w:tcPr>
          <w:p w:rsidR="006A3E26" w:rsidRPr="00435C4A" w:rsidRDefault="00F92DC3" w:rsidP="0019664D">
            <w:pPr>
              <w:pStyle w:val="a8"/>
              <w:ind w:left="0"/>
              <w:jc w:val="both"/>
              <w:rPr>
                <w:rFonts w:ascii="Times New Roman" w:hAnsi="Times New Roman"/>
                <w:sz w:val="24"/>
                <w:szCs w:val="24"/>
                <w:lang w:val="uk-UA"/>
              </w:rPr>
            </w:pPr>
            <w:r w:rsidRPr="00435C4A">
              <w:rPr>
                <w:rFonts w:ascii="Times New Roman" w:hAnsi="Times New Roman"/>
                <w:sz w:val="24"/>
                <w:szCs w:val="24"/>
                <w:lang w:val="uk-UA"/>
              </w:rPr>
              <w:t xml:space="preserve">У ст. 3 Закону України «Основи законодавства України про охорону здоров’я» використовується термін заклад охорони здоров’я з відповідною дефініцією, а не лікувально-профілактичний заклад </w:t>
            </w:r>
          </w:p>
        </w:tc>
      </w:tr>
      <w:tr w:rsidR="007A7D58" w:rsidRPr="00435C4A" w:rsidTr="00AA4C6E">
        <w:trPr>
          <w:trHeight w:val="123"/>
        </w:trPr>
        <w:tc>
          <w:tcPr>
            <w:tcW w:w="817" w:type="dxa"/>
          </w:tcPr>
          <w:p w:rsidR="00F92DC3" w:rsidRPr="00435C4A" w:rsidRDefault="00F92DC3" w:rsidP="00AA4C6E">
            <w:pPr>
              <w:jc w:val="center"/>
              <w:rPr>
                <w:rFonts w:ascii="Times New Roman" w:hAnsi="Times New Roman"/>
                <w:sz w:val="24"/>
                <w:szCs w:val="24"/>
                <w:lang w:val="uk-UA"/>
              </w:rPr>
            </w:pPr>
            <w:r w:rsidRPr="00435C4A">
              <w:rPr>
                <w:rFonts w:ascii="Times New Roman" w:hAnsi="Times New Roman"/>
                <w:sz w:val="24"/>
                <w:szCs w:val="24"/>
                <w:lang w:val="uk-UA"/>
              </w:rPr>
              <w:t xml:space="preserve">2. </w:t>
            </w:r>
          </w:p>
        </w:tc>
        <w:tc>
          <w:tcPr>
            <w:tcW w:w="3127" w:type="dxa"/>
          </w:tcPr>
          <w:p w:rsidR="00F92DC3" w:rsidRPr="00435C4A" w:rsidRDefault="00F92DC3" w:rsidP="00F92DC3">
            <w:pPr>
              <w:pStyle w:val="a9"/>
              <w:jc w:val="both"/>
              <w:rPr>
                <w:lang w:val="uk-UA"/>
              </w:rPr>
            </w:pPr>
            <w:r w:rsidRPr="00435C4A">
              <w:rPr>
                <w:lang w:val="uk-UA"/>
              </w:rPr>
              <w:t>3.8. При проведенні експертизи не на базі судово-медичної експертизи керівник лікувально-профілактичної установи зобов'язаний забезпечити судово-медичних експертів приміщенням для виконання експертизи, необхідним обладнанням і матеріалами, подавати іншу не</w:t>
            </w:r>
            <w:r w:rsidR="0019664D">
              <w:rPr>
                <w:lang w:val="uk-UA"/>
              </w:rPr>
              <w:t>обхідну допомогу</w:t>
            </w:r>
            <w:r w:rsidRPr="00435C4A">
              <w:rPr>
                <w:lang w:val="uk-UA"/>
              </w:rPr>
              <w:t xml:space="preserve"> </w:t>
            </w:r>
          </w:p>
          <w:p w:rsidR="00F92DC3" w:rsidRPr="00435C4A" w:rsidRDefault="00F92DC3" w:rsidP="00F92DC3">
            <w:pPr>
              <w:pStyle w:val="a9"/>
              <w:jc w:val="both"/>
              <w:rPr>
                <w:lang w:val="uk-UA"/>
              </w:rPr>
            </w:pPr>
          </w:p>
        </w:tc>
        <w:tc>
          <w:tcPr>
            <w:tcW w:w="4134" w:type="dxa"/>
          </w:tcPr>
          <w:p w:rsidR="00F92DC3" w:rsidRPr="00435C4A" w:rsidRDefault="00C83EC8" w:rsidP="00F92DC3">
            <w:pPr>
              <w:pStyle w:val="a9"/>
              <w:jc w:val="both"/>
              <w:rPr>
                <w:lang w:val="uk-UA"/>
              </w:rPr>
            </w:pPr>
            <w:r w:rsidRPr="00435C4A">
              <w:rPr>
                <w:lang w:val="uk-UA"/>
              </w:rPr>
              <w:t xml:space="preserve">…. керівник закладу охорони здоров’я </w:t>
            </w:r>
          </w:p>
        </w:tc>
        <w:tc>
          <w:tcPr>
            <w:tcW w:w="7192" w:type="dxa"/>
          </w:tcPr>
          <w:p w:rsidR="00C83EC8" w:rsidRPr="00435C4A" w:rsidRDefault="00C83EC8" w:rsidP="00F92DC3">
            <w:pPr>
              <w:pStyle w:val="a8"/>
              <w:ind w:left="0"/>
              <w:jc w:val="both"/>
              <w:rPr>
                <w:rFonts w:ascii="Times New Roman" w:hAnsi="Times New Roman"/>
                <w:sz w:val="24"/>
                <w:szCs w:val="24"/>
                <w:lang w:val="uk-UA"/>
              </w:rPr>
            </w:pPr>
            <w:r w:rsidRPr="00435C4A">
              <w:rPr>
                <w:rFonts w:ascii="Times New Roman" w:hAnsi="Times New Roman"/>
                <w:sz w:val="24"/>
                <w:szCs w:val="24"/>
                <w:lang w:val="uk-UA"/>
              </w:rPr>
              <w:t>У проекті використано два терміни лікувально-профілактичний заклад і установа, а коректно – заклад охорони здоров’я.</w:t>
            </w:r>
          </w:p>
          <w:p w:rsidR="00A00699" w:rsidRPr="00435C4A" w:rsidRDefault="00A00699" w:rsidP="00F92DC3">
            <w:pPr>
              <w:pStyle w:val="a8"/>
              <w:ind w:left="0"/>
              <w:jc w:val="both"/>
              <w:rPr>
                <w:rFonts w:ascii="Times New Roman" w:hAnsi="Times New Roman"/>
                <w:sz w:val="24"/>
                <w:szCs w:val="24"/>
                <w:lang w:val="uk-UA"/>
              </w:rPr>
            </w:pPr>
            <w:r w:rsidRPr="00435C4A">
              <w:rPr>
                <w:rFonts w:ascii="Times New Roman" w:hAnsi="Times New Roman"/>
                <w:sz w:val="24"/>
                <w:szCs w:val="24"/>
                <w:lang w:val="uk-UA"/>
              </w:rPr>
              <w:t xml:space="preserve">У доктрині терміни «заклад» і «установа» різняться, отож, як синоніми їх використовувати неправильно. </w:t>
            </w:r>
          </w:p>
          <w:p w:rsidR="00F92DC3" w:rsidRPr="00435C4A" w:rsidRDefault="00A00699" w:rsidP="0019664D">
            <w:pPr>
              <w:pStyle w:val="a8"/>
              <w:ind w:left="0"/>
              <w:jc w:val="both"/>
              <w:rPr>
                <w:rFonts w:ascii="Times New Roman" w:hAnsi="Times New Roman"/>
                <w:sz w:val="24"/>
                <w:szCs w:val="24"/>
                <w:lang w:val="uk-UA"/>
              </w:rPr>
            </w:pPr>
            <w:r w:rsidRPr="00435C4A">
              <w:rPr>
                <w:rFonts w:ascii="Times New Roman" w:hAnsi="Times New Roman"/>
                <w:sz w:val="24"/>
                <w:szCs w:val="24"/>
                <w:lang w:val="uk-UA"/>
              </w:rPr>
              <w:t xml:space="preserve">У </w:t>
            </w:r>
            <w:bookmarkStart w:id="1" w:name="q4"/>
            <w:r w:rsidRPr="00435C4A">
              <w:rPr>
                <w:rFonts w:ascii="Times New Roman" w:hAnsi="Times New Roman"/>
                <w:sz w:val="24"/>
                <w:szCs w:val="24"/>
                <w:lang w:val="uk-UA"/>
              </w:rPr>
              <w:t>Державному класифікаторі України. Класифікація організаційно-правових форм господарювання (КОПФГ)</w:t>
            </w:r>
            <w:bookmarkEnd w:id="1"/>
            <w:r w:rsidRPr="00435C4A">
              <w:rPr>
                <w:rFonts w:ascii="Times New Roman" w:hAnsi="Times New Roman"/>
                <w:sz w:val="24"/>
                <w:szCs w:val="24"/>
                <w:lang w:val="uk-UA"/>
              </w:rPr>
              <w:t xml:space="preserve"> передбачено </w:t>
            </w:r>
            <w:r w:rsidR="0019664D">
              <w:rPr>
                <w:rFonts w:ascii="Times New Roman" w:hAnsi="Times New Roman"/>
                <w:sz w:val="24"/>
                <w:szCs w:val="24"/>
                <w:lang w:val="uk-UA"/>
              </w:rPr>
              <w:t>«</w:t>
            </w:r>
            <w:r w:rsidRPr="00435C4A">
              <w:rPr>
                <w:rFonts w:ascii="Times New Roman" w:hAnsi="Times New Roman"/>
                <w:bCs/>
                <w:iCs/>
                <w:sz w:val="24"/>
                <w:szCs w:val="24"/>
                <w:lang w:val="uk-UA"/>
              </w:rPr>
              <w:t>організація (установа, заклад)</w:t>
            </w:r>
            <w:r w:rsidR="0019664D">
              <w:rPr>
                <w:rFonts w:ascii="Times New Roman" w:hAnsi="Times New Roman"/>
                <w:sz w:val="24"/>
                <w:szCs w:val="24"/>
                <w:lang w:val="uk-UA"/>
              </w:rPr>
              <w:t>»</w:t>
            </w:r>
            <w:r w:rsidRPr="00435C4A">
              <w:rPr>
                <w:rFonts w:ascii="Times New Roman" w:hAnsi="Times New Roman"/>
                <w:sz w:val="24"/>
                <w:szCs w:val="24"/>
                <w:lang w:val="uk-UA"/>
              </w:rPr>
              <w:t xml:space="preserve">. У літературі під </w:t>
            </w:r>
            <w:r w:rsidR="0019664D">
              <w:rPr>
                <w:rFonts w:ascii="Times New Roman" w:hAnsi="Times New Roman"/>
                <w:sz w:val="24"/>
                <w:szCs w:val="24"/>
                <w:lang w:val="uk-UA"/>
              </w:rPr>
              <w:t>«</w:t>
            </w:r>
            <w:r w:rsidRPr="00435C4A">
              <w:rPr>
                <w:rFonts w:ascii="Times New Roman" w:hAnsi="Times New Roman"/>
                <w:bCs/>
                <w:sz w:val="24"/>
                <w:szCs w:val="24"/>
                <w:lang w:val="uk-UA"/>
              </w:rPr>
              <w:t>закладом</w:t>
            </w:r>
            <w:r w:rsidR="0019664D">
              <w:rPr>
                <w:rFonts w:ascii="Times New Roman" w:hAnsi="Times New Roman"/>
                <w:sz w:val="24"/>
                <w:szCs w:val="24"/>
                <w:lang w:val="uk-UA"/>
              </w:rPr>
              <w:t>»</w:t>
            </w:r>
            <w:r w:rsidRPr="00435C4A">
              <w:rPr>
                <w:rFonts w:ascii="Times New Roman" w:hAnsi="Times New Roman"/>
                <w:sz w:val="24"/>
                <w:szCs w:val="24"/>
                <w:lang w:val="uk-UA"/>
              </w:rPr>
              <w:t xml:space="preserve"> розуміється </w:t>
            </w:r>
            <w:r w:rsidR="0019664D">
              <w:rPr>
                <w:rFonts w:ascii="Times New Roman" w:hAnsi="Times New Roman"/>
                <w:sz w:val="24"/>
                <w:szCs w:val="24"/>
                <w:lang w:val="uk-UA"/>
              </w:rPr>
              <w:t>«</w:t>
            </w:r>
            <w:r w:rsidRPr="00435C4A">
              <w:rPr>
                <w:rFonts w:ascii="Times New Roman" w:hAnsi="Times New Roman"/>
                <w:bCs/>
                <w:iCs/>
                <w:sz w:val="24"/>
                <w:szCs w:val="24"/>
                <w:lang w:val="uk-UA"/>
              </w:rPr>
              <w:t>установа</w:t>
            </w:r>
            <w:r w:rsidRPr="00435C4A">
              <w:rPr>
                <w:rFonts w:ascii="Times New Roman" w:hAnsi="Times New Roman"/>
                <w:iCs/>
                <w:sz w:val="24"/>
                <w:szCs w:val="24"/>
                <w:lang w:val="uk-UA"/>
              </w:rPr>
              <w:t xml:space="preserve"> з певним штатом службовців і адміністрацією, що працюють в якій-небудь галузі освіти, науки, культури і т. ін.</w:t>
            </w:r>
            <w:r w:rsidR="0019664D">
              <w:rPr>
                <w:rFonts w:ascii="Times New Roman" w:hAnsi="Times New Roman"/>
                <w:sz w:val="24"/>
                <w:szCs w:val="24"/>
                <w:lang w:val="uk-UA"/>
              </w:rPr>
              <w:t>»</w:t>
            </w:r>
            <w:r w:rsidRPr="00435C4A">
              <w:rPr>
                <w:rFonts w:ascii="Times New Roman" w:hAnsi="Times New Roman"/>
                <w:sz w:val="24"/>
                <w:szCs w:val="24"/>
                <w:lang w:val="uk-UA"/>
              </w:rPr>
              <w:t xml:space="preserve">. А </w:t>
            </w:r>
            <w:r w:rsidR="00C83EC8" w:rsidRPr="00435C4A">
              <w:rPr>
                <w:rFonts w:ascii="Times New Roman" w:hAnsi="Times New Roman"/>
                <w:bCs/>
                <w:sz w:val="24"/>
                <w:szCs w:val="24"/>
                <w:lang w:val="uk-UA"/>
              </w:rPr>
              <w:t>установа</w:t>
            </w:r>
            <w:r w:rsidR="00C83EC8" w:rsidRPr="00435C4A">
              <w:rPr>
                <w:rFonts w:ascii="Times New Roman" w:hAnsi="Times New Roman"/>
                <w:sz w:val="24"/>
                <w:szCs w:val="24"/>
                <w:lang w:val="uk-UA"/>
              </w:rPr>
              <w:t xml:space="preserve"> </w:t>
            </w:r>
            <w:r w:rsidRPr="00435C4A">
              <w:rPr>
                <w:rFonts w:ascii="Times New Roman" w:hAnsi="Times New Roman"/>
                <w:sz w:val="24"/>
                <w:szCs w:val="24"/>
                <w:lang w:val="uk-UA"/>
              </w:rPr>
              <w:t>- як</w:t>
            </w:r>
            <w:r w:rsidR="00C83EC8" w:rsidRPr="00435C4A">
              <w:rPr>
                <w:rFonts w:ascii="Times New Roman" w:hAnsi="Times New Roman"/>
                <w:sz w:val="24"/>
                <w:szCs w:val="24"/>
                <w:lang w:val="uk-UA"/>
              </w:rPr>
              <w:t xml:space="preserve"> різновид </w:t>
            </w:r>
            <w:r w:rsidR="00C83EC8" w:rsidRPr="00435C4A">
              <w:rPr>
                <w:rFonts w:ascii="Times New Roman" w:hAnsi="Times New Roman"/>
                <w:bCs/>
                <w:sz w:val="24"/>
                <w:szCs w:val="24"/>
                <w:lang w:val="uk-UA"/>
              </w:rPr>
              <w:t>організації</w:t>
            </w:r>
            <w:r w:rsidR="00C83EC8" w:rsidRPr="00435C4A">
              <w:rPr>
                <w:rFonts w:ascii="Times New Roman" w:hAnsi="Times New Roman"/>
                <w:sz w:val="24"/>
                <w:szCs w:val="24"/>
                <w:lang w:val="uk-UA"/>
              </w:rPr>
              <w:t xml:space="preserve">, яка має статус юридичної особи. </w:t>
            </w:r>
          </w:p>
        </w:tc>
      </w:tr>
      <w:tr w:rsidR="006C5630" w:rsidRPr="00435C4A" w:rsidTr="00AA4C6E">
        <w:trPr>
          <w:trHeight w:val="123"/>
        </w:trPr>
        <w:tc>
          <w:tcPr>
            <w:tcW w:w="817" w:type="dxa"/>
          </w:tcPr>
          <w:p w:rsidR="00FF2A11" w:rsidRPr="00435C4A" w:rsidRDefault="00FF2A11" w:rsidP="00AA4C6E">
            <w:pPr>
              <w:jc w:val="center"/>
              <w:rPr>
                <w:rFonts w:ascii="Times New Roman" w:hAnsi="Times New Roman"/>
                <w:sz w:val="24"/>
                <w:szCs w:val="24"/>
                <w:lang w:val="uk-UA"/>
              </w:rPr>
            </w:pPr>
            <w:r w:rsidRPr="00435C4A">
              <w:rPr>
                <w:rFonts w:ascii="Times New Roman" w:hAnsi="Times New Roman"/>
                <w:sz w:val="24"/>
                <w:szCs w:val="24"/>
                <w:lang w:val="uk-UA"/>
              </w:rPr>
              <w:t xml:space="preserve">3. </w:t>
            </w:r>
          </w:p>
        </w:tc>
        <w:tc>
          <w:tcPr>
            <w:tcW w:w="3127" w:type="dxa"/>
          </w:tcPr>
          <w:p w:rsidR="00FF2A11" w:rsidRPr="00435C4A" w:rsidRDefault="00FF2A11" w:rsidP="00FF2A11">
            <w:pPr>
              <w:pStyle w:val="3"/>
              <w:jc w:val="both"/>
              <w:outlineLvl w:val="2"/>
              <w:rPr>
                <w:b w:val="0"/>
                <w:bCs w:val="0"/>
                <w:sz w:val="24"/>
                <w:szCs w:val="24"/>
                <w:lang w:val="uk-UA"/>
              </w:rPr>
            </w:pPr>
            <w:r w:rsidRPr="00435C4A">
              <w:rPr>
                <w:b w:val="0"/>
                <w:bCs w:val="0"/>
                <w:sz w:val="24"/>
                <w:szCs w:val="24"/>
                <w:lang w:val="uk-UA"/>
              </w:rPr>
              <w:t>4.7.</w:t>
            </w:r>
            <w:r w:rsidRPr="00435C4A">
              <w:rPr>
                <w:b w:val="0"/>
                <w:bCs w:val="0"/>
                <w:sz w:val="28"/>
                <w:szCs w:val="28"/>
                <w:lang w:val="uk-UA"/>
              </w:rPr>
              <w:t xml:space="preserve"> </w:t>
            </w:r>
            <w:r w:rsidRPr="00435C4A">
              <w:rPr>
                <w:b w:val="0"/>
                <w:bCs w:val="0"/>
                <w:sz w:val="24"/>
                <w:szCs w:val="24"/>
                <w:lang w:val="uk-UA"/>
              </w:rPr>
              <w:t xml:space="preserve">Без додаткового узгодження з особою, що призначила експертизу, до участі в проведенні судово-медичних експертиз як експерти за рішенням керівника територіального бюро судово-медичної експертизи або Державної судово-медичної експертної служби України можуть бути залучені професори та викладачі </w:t>
            </w:r>
            <w:r w:rsidRPr="00435C4A">
              <w:rPr>
                <w:b w:val="0"/>
                <w:bCs w:val="0"/>
                <w:sz w:val="24"/>
                <w:szCs w:val="24"/>
                <w:lang w:val="uk-UA"/>
              </w:rPr>
              <w:lastRenderedPageBreak/>
              <w:t>кафедр судової медицини, фахівці закладів охорони здоров’я та інших відомств. При цьому на цих суб’єктів поширюються вимоги та відповідальність, що висуваються цим Законом до судових експертів.</w:t>
            </w:r>
          </w:p>
          <w:p w:rsidR="00FF2A11" w:rsidRPr="00435C4A" w:rsidRDefault="00FF2A11" w:rsidP="00F92DC3">
            <w:pPr>
              <w:pStyle w:val="a9"/>
              <w:jc w:val="both"/>
              <w:rPr>
                <w:lang w:val="uk-UA"/>
              </w:rPr>
            </w:pPr>
          </w:p>
        </w:tc>
        <w:tc>
          <w:tcPr>
            <w:tcW w:w="4134" w:type="dxa"/>
          </w:tcPr>
          <w:p w:rsidR="00FF2A11" w:rsidRPr="00435C4A" w:rsidRDefault="00FF2A11" w:rsidP="00F92DC3">
            <w:pPr>
              <w:pStyle w:val="a9"/>
              <w:jc w:val="both"/>
              <w:rPr>
                <w:lang w:val="uk-UA"/>
              </w:rPr>
            </w:pPr>
          </w:p>
        </w:tc>
        <w:tc>
          <w:tcPr>
            <w:tcW w:w="7192" w:type="dxa"/>
          </w:tcPr>
          <w:p w:rsidR="00FF2A11" w:rsidRPr="00435C4A" w:rsidRDefault="000C6B9E" w:rsidP="00FF2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val="uk-UA" w:eastAsia="uk-UA"/>
              </w:rPr>
            </w:pPr>
            <w:r w:rsidRPr="00435C4A">
              <w:rPr>
                <w:rFonts w:ascii="Times New Roman" w:hAnsi="Times New Roman"/>
                <w:sz w:val="24"/>
                <w:szCs w:val="24"/>
                <w:lang w:val="uk-UA" w:eastAsia="uk-UA"/>
              </w:rPr>
              <w:t>У ст. 10 Закону України «Про судову експертизу» встановлено чіткі обмеження щодо кола експертів:</w:t>
            </w:r>
          </w:p>
          <w:p w:rsidR="007A7D58" w:rsidRPr="00435C4A" w:rsidRDefault="00FF2A11" w:rsidP="007A7D58">
            <w:pPr>
              <w:pStyle w:val="HTML"/>
              <w:jc w:val="both"/>
              <w:rPr>
                <w:rFonts w:ascii="Times New Roman" w:hAnsi="Times New Roman" w:cs="Times New Roman"/>
                <w:sz w:val="24"/>
                <w:szCs w:val="24"/>
              </w:rPr>
            </w:pPr>
            <w:r w:rsidRPr="00435C4A">
              <w:rPr>
                <w:rFonts w:ascii="Times New Roman" w:hAnsi="Times New Roman"/>
                <w:sz w:val="24"/>
                <w:szCs w:val="24"/>
              </w:rPr>
              <w:t>Судовими</w:t>
            </w:r>
            <w:r w:rsidRPr="00FF2A11">
              <w:rPr>
                <w:rFonts w:ascii="Times New Roman" w:hAnsi="Times New Roman" w:cs="Times New Roman"/>
                <w:sz w:val="24"/>
                <w:szCs w:val="24"/>
              </w:rPr>
              <w:t xml:space="preserve"> експертами державних спеціалізованих установ можуть бути фахівці, </w:t>
            </w:r>
            <w:r w:rsidRPr="00435C4A">
              <w:rPr>
                <w:rFonts w:ascii="Times New Roman" w:hAnsi="Times New Roman"/>
                <w:sz w:val="24"/>
                <w:szCs w:val="24"/>
              </w:rPr>
              <w:t xml:space="preserve">які мають </w:t>
            </w:r>
            <w:r w:rsidRPr="00FF2A11">
              <w:rPr>
                <w:rFonts w:ascii="Times New Roman" w:hAnsi="Times New Roman" w:cs="Times New Roman"/>
                <w:sz w:val="24"/>
                <w:szCs w:val="24"/>
              </w:rPr>
              <w:t>відповідну вищу освіту, о</w:t>
            </w:r>
            <w:r w:rsidRPr="00435C4A">
              <w:rPr>
                <w:rFonts w:ascii="Times New Roman" w:hAnsi="Times New Roman"/>
                <w:sz w:val="24"/>
                <w:szCs w:val="24"/>
              </w:rPr>
              <w:t>світньо-кваліфікаційний рівень не нижче спеціаліста,</w:t>
            </w:r>
            <w:r w:rsidRPr="00FF2A11">
              <w:rPr>
                <w:rFonts w:ascii="Times New Roman" w:hAnsi="Times New Roman" w:cs="Times New Roman"/>
                <w:sz w:val="24"/>
                <w:szCs w:val="24"/>
              </w:rPr>
              <w:t xml:space="preserve"> пройшли відповідну підготовку та отримали кваліфікацію судового експерта з певної спеціальності.</w:t>
            </w:r>
            <w:r w:rsidR="007A7D58" w:rsidRPr="00435C4A">
              <w:rPr>
                <w:rFonts w:ascii="Times New Roman" w:hAnsi="Times New Roman"/>
                <w:sz w:val="24"/>
                <w:szCs w:val="24"/>
              </w:rPr>
              <w:t xml:space="preserve"> У ст. 9 цього ж Закону передбачено, що </w:t>
            </w:r>
            <w:r w:rsidR="007A7D58" w:rsidRPr="00435C4A">
              <w:rPr>
                <w:rFonts w:ascii="Times New Roman" w:hAnsi="Times New Roman" w:cs="Times New Roman"/>
                <w:sz w:val="24"/>
                <w:szCs w:val="24"/>
              </w:rPr>
              <w:t>особа або орган, які призначили судову експертизу, можуть доручити її проведення тим судовим експертам, яких внесено до державного Реєстру атестованих судових експертів</w:t>
            </w:r>
            <w:r w:rsidR="008A68FA">
              <w:rPr>
                <w:rFonts w:ascii="Times New Roman" w:hAnsi="Times New Roman" w:cs="Times New Roman"/>
                <w:sz w:val="24"/>
                <w:szCs w:val="24"/>
              </w:rPr>
              <w:t>.</w:t>
            </w:r>
          </w:p>
          <w:p w:rsidR="00FF2A11" w:rsidRPr="00FF2A11" w:rsidRDefault="00FF2A11" w:rsidP="00FF2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val="uk-UA" w:eastAsia="uk-UA"/>
              </w:rPr>
            </w:pPr>
          </w:p>
          <w:p w:rsidR="00FF2A11" w:rsidRPr="00435C4A" w:rsidRDefault="000C6B9E" w:rsidP="00F92DC3">
            <w:pPr>
              <w:pStyle w:val="a8"/>
              <w:ind w:left="0"/>
              <w:jc w:val="both"/>
              <w:rPr>
                <w:rFonts w:ascii="Times New Roman" w:hAnsi="Times New Roman"/>
                <w:sz w:val="24"/>
                <w:szCs w:val="24"/>
                <w:lang w:val="uk-UA"/>
              </w:rPr>
            </w:pPr>
            <w:r w:rsidRPr="00435C4A">
              <w:rPr>
                <w:rFonts w:ascii="Times New Roman" w:hAnsi="Times New Roman"/>
                <w:sz w:val="24"/>
                <w:szCs w:val="24"/>
                <w:lang w:val="uk-UA"/>
              </w:rPr>
              <w:t xml:space="preserve">Отож, при такому </w:t>
            </w:r>
            <w:r w:rsidR="007A7D58" w:rsidRPr="00435C4A">
              <w:rPr>
                <w:rFonts w:ascii="Times New Roman" w:hAnsi="Times New Roman"/>
                <w:sz w:val="24"/>
                <w:szCs w:val="24"/>
                <w:lang w:val="uk-UA"/>
              </w:rPr>
              <w:t xml:space="preserve">чинному </w:t>
            </w:r>
            <w:r w:rsidRPr="00435C4A">
              <w:rPr>
                <w:rFonts w:ascii="Times New Roman" w:hAnsi="Times New Roman"/>
                <w:sz w:val="24"/>
                <w:szCs w:val="24"/>
                <w:lang w:val="uk-UA"/>
              </w:rPr>
              <w:t>нормативному обмеженні вв</w:t>
            </w:r>
            <w:r w:rsidR="008A68FA">
              <w:rPr>
                <w:rFonts w:ascii="Times New Roman" w:hAnsi="Times New Roman"/>
                <w:sz w:val="24"/>
                <w:szCs w:val="24"/>
                <w:lang w:val="uk-UA"/>
              </w:rPr>
              <w:t>едення</w:t>
            </w:r>
            <w:r w:rsidRPr="00435C4A">
              <w:rPr>
                <w:rFonts w:ascii="Times New Roman" w:hAnsi="Times New Roman"/>
                <w:sz w:val="24"/>
                <w:szCs w:val="24"/>
                <w:lang w:val="uk-UA"/>
              </w:rPr>
              <w:t xml:space="preserve"> </w:t>
            </w:r>
            <w:r w:rsidR="008A68FA">
              <w:rPr>
                <w:rFonts w:ascii="Times New Roman" w:hAnsi="Times New Roman"/>
                <w:sz w:val="24"/>
                <w:szCs w:val="24"/>
                <w:lang w:val="uk-UA"/>
              </w:rPr>
              <w:t>у</w:t>
            </w:r>
            <w:r w:rsidRPr="00435C4A">
              <w:rPr>
                <w:rFonts w:ascii="Times New Roman" w:hAnsi="Times New Roman"/>
                <w:sz w:val="24"/>
                <w:szCs w:val="24"/>
                <w:lang w:val="uk-UA"/>
              </w:rPr>
              <w:t xml:space="preserve"> </w:t>
            </w:r>
            <w:r w:rsidRPr="00435C4A">
              <w:rPr>
                <w:rFonts w:ascii="Times New Roman" w:hAnsi="Times New Roman"/>
                <w:sz w:val="24"/>
                <w:szCs w:val="24"/>
                <w:lang w:val="uk-UA"/>
              </w:rPr>
              <w:lastRenderedPageBreak/>
              <w:t xml:space="preserve">спеціальному законі розширення </w:t>
            </w:r>
            <w:r w:rsidR="007A7D58" w:rsidRPr="00435C4A">
              <w:rPr>
                <w:rFonts w:ascii="Times New Roman" w:hAnsi="Times New Roman"/>
                <w:sz w:val="24"/>
                <w:szCs w:val="24"/>
                <w:lang w:val="uk-UA"/>
              </w:rPr>
              <w:t xml:space="preserve">кола осіб, які мають право проводити судово-медичну експертизу, </w:t>
            </w:r>
            <w:r w:rsidR="008A68FA">
              <w:rPr>
                <w:rFonts w:ascii="Times New Roman" w:hAnsi="Times New Roman"/>
                <w:sz w:val="24"/>
                <w:szCs w:val="24"/>
                <w:lang w:val="uk-UA"/>
              </w:rPr>
              <w:t>може породити</w:t>
            </w:r>
            <w:r w:rsidRPr="00435C4A">
              <w:rPr>
                <w:rFonts w:ascii="Times New Roman" w:hAnsi="Times New Roman"/>
                <w:sz w:val="24"/>
                <w:szCs w:val="24"/>
                <w:lang w:val="uk-UA"/>
              </w:rPr>
              <w:t xml:space="preserve"> чимало проблем на практиці. </w:t>
            </w:r>
          </w:p>
          <w:p w:rsidR="000C6B9E" w:rsidRPr="00435C4A" w:rsidRDefault="000C6B9E" w:rsidP="000C6B9E">
            <w:pPr>
              <w:pStyle w:val="a8"/>
              <w:ind w:left="0"/>
              <w:jc w:val="both"/>
              <w:rPr>
                <w:rFonts w:ascii="Times New Roman" w:hAnsi="Times New Roman"/>
                <w:bCs/>
                <w:sz w:val="24"/>
                <w:szCs w:val="24"/>
                <w:lang w:val="uk-UA"/>
              </w:rPr>
            </w:pPr>
            <w:r w:rsidRPr="00435C4A">
              <w:rPr>
                <w:rFonts w:ascii="Times New Roman" w:hAnsi="Times New Roman"/>
                <w:sz w:val="24"/>
                <w:szCs w:val="24"/>
                <w:lang w:val="uk-UA"/>
              </w:rPr>
              <w:t xml:space="preserve">Норма, вказана у проекті, сьогодні міститься в </w:t>
            </w:r>
            <w:bookmarkStart w:id="2" w:name="o5"/>
            <w:bookmarkEnd w:id="2"/>
            <w:r w:rsidRPr="00435C4A">
              <w:rPr>
                <w:rFonts w:ascii="Times New Roman" w:hAnsi="Times New Roman"/>
                <w:bCs/>
                <w:sz w:val="24"/>
                <w:szCs w:val="24"/>
                <w:lang w:val="uk-UA"/>
              </w:rPr>
              <w:t xml:space="preserve">Інструкції про проведення судово-медичної експертизи, затвердженій Наказом МОЗ України від 17.01.1995 р. №6. Чимало бюро тим послуговуються, але чимало судів такі висновки експертиз до уваги не беруть, визнаючи </w:t>
            </w:r>
            <w:r w:rsidR="007A7D58" w:rsidRPr="00435C4A">
              <w:rPr>
                <w:rFonts w:ascii="Times New Roman" w:hAnsi="Times New Roman"/>
                <w:bCs/>
                <w:sz w:val="24"/>
                <w:szCs w:val="24"/>
                <w:lang w:val="uk-UA"/>
              </w:rPr>
              <w:t xml:space="preserve">їх </w:t>
            </w:r>
            <w:r w:rsidRPr="00435C4A">
              <w:rPr>
                <w:rFonts w:ascii="Times New Roman" w:hAnsi="Times New Roman"/>
                <w:bCs/>
                <w:sz w:val="24"/>
                <w:szCs w:val="24"/>
                <w:lang w:val="uk-UA"/>
              </w:rPr>
              <w:t xml:space="preserve">неналежним доказом у справі, адже вважають, що склад комісії був неналежним. </w:t>
            </w:r>
            <w:r w:rsidRPr="00435C4A">
              <w:rPr>
                <w:rFonts w:ascii="Times New Roman" w:hAnsi="Times New Roman"/>
                <w:bCs/>
                <w:sz w:val="24"/>
                <w:szCs w:val="24"/>
                <w:lang w:val="uk-UA"/>
              </w:rPr>
              <w:br/>
            </w:r>
            <w:r w:rsidR="008A68FA">
              <w:rPr>
                <w:rFonts w:ascii="Times New Roman" w:hAnsi="Times New Roman"/>
                <w:bCs/>
                <w:sz w:val="24"/>
                <w:szCs w:val="24"/>
                <w:lang w:val="uk-UA"/>
              </w:rPr>
              <w:t>Незважаючи на те</w:t>
            </w:r>
            <w:r w:rsidRPr="00435C4A">
              <w:rPr>
                <w:rFonts w:ascii="Times New Roman" w:hAnsi="Times New Roman"/>
                <w:bCs/>
                <w:sz w:val="24"/>
                <w:szCs w:val="24"/>
                <w:lang w:val="uk-UA"/>
              </w:rPr>
              <w:t xml:space="preserve">, що така практика є </w:t>
            </w:r>
            <w:r w:rsidR="008A68FA">
              <w:rPr>
                <w:rFonts w:ascii="Times New Roman" w:hAnsi="Times New Roman"/>
                <w:bCs/>
                <w:sz w:val="24"/>
                <w:szCs w:val="24"/>
                <w:lang w:val="uk-UA"/>
              </w:rPr>
              <w:t>виправданою</w:t>
            </w:r>
            <w:r w:rsidRPr="00435C4A">
              <w:rPr>
                <w:rFonts w:ascii="Times New Roman" w:hAnsi="Times New Roman"/>
                <w:bCs/>
                <w:sz w:val="24"/>
                <w:szCs w:val="24"/>
                <w:lang w:val="uk-UA"/>
              </w:rPr>
              <w:t>, враховуючи необхідність залучення вузьких спеціалістів</w:t>
            </w:r>
            <w:r w:rsidR="008A68FA">
              <w:rPr>
                <w:rFonts w:ascii="Times New Roman" w:hAnsi="Times New Roman"/>
                <w:bCs/>
                <w:sz w:val="24"/>
                <w:szCs w:val="24"/>
                <w:lang w:val="uk-UA"/>
              </w:rPr>
              <w:t xml:space="preserve"> до проведення різних експертиз</w:t>
            </w:r>
            <w:r w:rsidRPr="00435C4A">
              <w:rPr>
                <w:rFonts w:ascii="Times New Roman" w:hAnsi="Times New Roman"/>
                <w:bCs/>
                <w:sz w:val="24"/>
                <w:szCs w:val="24"/>
                <w:lang w:val="uk-UA"/>
              </w:rPr>
              <w:t xml:space="preserve">, чинна нормативно-правова база для такого розширення </w:t>
            </w:r>
            <w:r w:rsidR="007A7D58" w:rsidRPr="00435C4A">
              <w:rPr>
                <w:rFonts w:ascii="Times New Roman" w:hAnsi="Times New Roman"/>
                <w:bCs/>
                <w:sz w:val="24"/>
                <w:szCs w:val="24"/>
                <w:lang w:val="uk-UA"/>
              </w:rPr>
              <w:t xml:space="preserve">є </w:t>
            </w:r>
            <w:r w:rsidRPr="00435C4A">
              <w:rPr>
                <w:rFonts w:ascii="Times New Roman" w:hAnsi="Times New Roman"/>
                <w:bCs/>
                <w:sz w:val="24"/>
                <w:szCs w:val="24"/>
                <w:lang w:val="uk-UA"/>
              </w:rPr>
              <w:t xml:space="preserve">перепоною. </w:t>
            </w:r>
            <w:r w:rsidR="007A7D58" w:rsidRPr="00435C4A">
              <w:rPr>
                <w:rFonts w:ascii="Times New Roman" w:hAnsi="Times New Roman"/>
                <w:bCs/>
                <w:sz w:val="24"/>
                <w:szCs w:val="24"/>
                <w:lang w:val="uk-UA"/>
              </w:rPr>
              <w:t xml:space="preserve">А також, як видається, судово-медична експертиза стане винятком з правила щодо вимог до судових експертів. </w:t>
            </w:r>
          </w:p>
          <w:p w:rsidR="00B83A2A" w:rsidRPr="00435C4A" w:rsidRDefault="00B83A2A" w:rsidP="000C6B9E">
            <w:pPr>
              <w:pStyle w:val="a8"/>
              <w:ind w:left="0"/>
              <w:jc w:val="both"/>
              <w:rPr>
                <w:rFonts w:ascii="Times New Roman" w:hAnsi="Times New Roman"/>
                <w:bCs/>
                <w:sz w:val="24"/>
                <w:szCs w:val="24"/>
                <w:lang w:val="uk-UA"/>
              </w:rPr>
            </w:pPr>
          </w:p>
          <w:p w:rsidR="00B83A2A" w:rsidRPr="00435C4A" w:rsidRDefault="00897078" w:rsidP="00B83A2A">
            <w:pPr>
              <w:pStyle w:val="a8"/>
              <w:ind w:left="0"/>
              <w:jc w:val="both"/>
              <w:rPr>
                <w:rFonts w:ascii="Times New Roman" w:hAnsi="Times New Roman"/>
                <w:sz w:val="24"/>
                <w:szCs w:val="24"/>
                <w:lang w:val="uk-UA" w:eastAsia="uk-UA"/>
              </w:rPr>
            </w:pPr>
            <w:r>
              <w:rPr>
                <w:rFonts w:ascii="Times New Roman" w:hAnsi="Times New Roman"/>
                <w:bCs/>
                <w:sz w:val="24"/>
                <w:szCs w:val="24"/>
                <w:lang w:val="uk-UA"/>
              </w:rPr>
              <w:t>Цікавою у цьому аспекті є п</w:t>
            </w:r>
            <w:r w:rsidR="00B83A2A" w:rsidRPr="00435C4A">
              <w:rPr>
                <w:rFonts w:ascii="Times New Roman" w:hAnsi="Times New Roman"/>
                <w:bCs/>
                <w:sz w:val="24"/>
                <w:szCs w:val="24"/>
                <w:lang w:val="uk-UA"/>
              </w:rPr>
              <w:t xml:space="preserve">равова позиція </w:t>
            </w:r>
            <w:r>
              <w:rPr>
                <w:rFonts w:ascii="Times New Roman" w:hAnsi="Times New Roman"/>
                <w:bCs/>
                <w:sz w:val="24"/>
                <w:szCs w:val="24"/>
                <w:lang w:val="uk-UA"/>
              </w:rPr>
              <w:t xml:space="preserve">судів, зокрема, </w:t>
            </w:r>
            <w:r w:rsidR="00B83A2A" w:rsidRPr="00435C4A">
              <w:rPr>
                <w:rFonts w:ascii="Times New Roman" w:hAnsi="Times New Roman"/>
                <w:bCs/>
                <w:sz w:val="24"/>
                <w:szCs w:val="24"/>
                <w:lang w:val="uk-UA"/>
              </w:rPr>
              <w:t>Окружного адміністративного суду м. Києва, Постанова від 16.04.2013 р.: «</w:t>
            </w:r>
            <w:r w:rsidR="00B83A2A" w:rsidRPr="00435C4A">
              <w:rPr>
                <w:rFonts w:ascii="Times New Roman" w:hAnsi="Times New Roman"/>
                <w:sz w:val="24"/>
                <w:szCs w:val="24"/>
                <w:lang w:val="uk-UA" w:eastAsia="uk-UA"/>
              </w:rPr>
              <w:t xml:space="preserve">Таким чином, суд приходить до висновку, що до проведення судової експертизи, </w:t>
            </w:r>
            <w:r w:rsidR="00B83A2A" w:rsidRPr="00435C4A">
              <w:rPr>
                <w:rFonts w:ascii="Times New Roman" w:hAnsi="Times New Roman"/>
                <w:b/>
                <w:sz w:val="24"/>
                <w:szCs w:val="24"/>
                <w:lang w:val="uk-UA" w:eastAsia="uk-UA"/>
              </w:rPr>
              <w:t>за винятком тих, які проводяться державними експертними установами, можуть залучатися інші фахівці (крім судових експертів інших установ) відповідної галузі знань для надання висновку з досліджуваних питань</w:t>
            </w:r>
            <w:r w:rsidR="00B83A2A" w:rsidRPr="00435C4A">
              <w:rPr>
                <w:rFonts w:ascii="Times New Roman" w:hAnsi="Times New Roman"/>
                <w:sz w:val="24"/>
                <w:szCs w:val="24"/>
                <w:lang w:val="uk-UA" w:eastAsia="uk-UA"/>
              </w:rPr>
              <w:t>. Натомість зазначені фахівці, у випадку такої необхідності, можуть залучатися тими ж самими спеціальними державними судово-експертними установами без додаткового узгодження з особою, яка призначила експертизу. Разом з тим чинне законодавство не містить приписів щодо обов'язкового погодження особи фахівця для проведення експертизи з її замовником, крім випадків, коли особа за власною ініціативою визначає виконавця експертизи».</w:t>
            </w:r>
          </w:p>
          <w:p w:rsidR="00B83A2A" w:rsidRPr="00435C4A" w:rsidRDefault="00B83A2A" w:rsidP="000C6B9E">
            <w:pPr>
              <w:pStyle w:val="a8"/>
              <w:ind w:left="0"/>
              <w:jc w:val="both"/>
              <w:rPr>
                <w:rFonts w:ascii="Times New Roman" w:hAnsi="Times New Roman"/>
                <w:sz w:val="24"/>
                <w:szCs w:val="24"/>
                <w:lang w:val="uk-UA"/>
              </w:rPr>
            </w:pPr>
          </w:p>
          <w:p w:rsidR="00B83A2A" w:rsidRPr="00435C4A" w:rsidRDefault="00B83A2A" w:rsidP="00B83A2A">
            <w:pPr>
              <w:pStyle w:val="HTML"/>
              <w:jc w:val="both"/>
              <w:rPr>
                <w:rFonts w:ascii="Times New Roman" w:hAnsi="Times New Roman" w:cs="Times New Roman"/>
                <w:sz w:val="24"/>
                <w:szCs w:val="24"/>
              </w:rPr>
            </w:pPr>
            <w:r w:rsidRPr="00435C4A">
              <w:rPr>
                <w:rFonts w:ascii="Times New Roman" w:hAnsi="Times New Roman" w:cs="Times New Roman"/>
                <w:sz w:val="24"/>
                <w:szCs w:val="24"/>
              </w:rPr>
              <w:t xml:space="preserve">Відповідно до ч. 3 ст. 7 аналізованого Закону, виключно </w:t>
            </w:r>
            <w:r w:rsidRPr="00435C4A">
              <w:rPr>
                <w:rFonts w:ascii="Times New Roman" w:hAnsi="Times New Roman" w:cs="Times New Roman"/>
                <w:sz w:val="24"/>
                <w:szCs w:val="24"/>
              </w:rPr>
              <w:lastRenderedPageBreak/>
              <w:t xml:space="preserve">державними спеціалізованими установами здійснюється судово-експертна діяльність, пов'язана з проведенням криміналістичних, </w:t>
            </w:r>
            <w:r w:rsidRPr="00435C4A">
              <w:rPr>
                <w:rFonts w:ascii="Times New Roman" w:hAnsi="Times New Roman" w:cs="Times New Roman"/>
                <w:b/>
                <w:sz w:val="24"/>
                <w:szCs w:val="24"/>
              </w:rPr>
              <w:t>судово-медичних</w:t>
            </w:r>
            <w:r w:rsidRPr="00435C4A">
              <w:rPr>
                <w:rFonts w:ascii="Times New Roman" w:hAnsi="Times New Roman" w:cs="Times New Roman"/>
                <w:sz w:val="24"/>
                <w:szCs w:val="24"/>
              </w:rPr>
              <w:t xml:space="preserve"> і судово-психіатричних </w:t>
            </w:r>
            <w:r w:rsidRPr="00435C4A">
              <w:rPr>
                <w:rFonts w:ascii="Times New Roman" w:hAnsi="Times New Roman" w:cs="Times New Roman"/>
                <w:b/>
                <w:sz w:val="24"/>
                <w:szCs w:val="24"/>
              </w:rPr>
              <w:t>експертиз</w:t>
            </w:r>
            <w:r w:rsidRPr="00435C4A">
              <w:rPr>
                <w:rFonts w:ascii="Times New Roman" w:hAnsi="Times New Roman" w:cs="Times New Roman"/>
                <w:sz w:val="24"/>
                <w:szCs w:val="24"/>
              </w:rPr>
              <w:t xml:space="preserve">. </w:t>
            </w:r>
          </w:p>
          <w:p w:rsidR="00B83A2A" w:rsidRPr="00435C4A" w:rsidRDefault="00B83A2A" w:rsidP="000C6B9E">
            <w:pPr>
              <w:pStyle w:val="a8"/>
              <w:ind w:left="0"/>
              <w:jc w:val="both"/>
              <w:rPr>
                <w:rFonts w:ascii="Times New Roman" w:hAnsi="Times New Roman"/>
                <w:sz w:val="24"/>
                <w:szCs w:val="24"/>
                <w:lang w:val="uk-UA"/>
              </w:rPr>
            </w:pPr>
          </w:p>
          <w:p w:rsidR="000C6B9E" w:rsidRPr="00435C4A" w:rsidRDefault="000C6B9E" w:rsidP="00F92DC3">
            <w:pPr>
              <w:pStyle w:val="a8"/>
              <w:ind w:left="0"/>
              <w:jc w:val="both"/>
              <w:rPr>
                <w:rFonts w:ascii="Times New Roman" w:hAnsi="Times New Roman"/>
                <w:sz w:val="24"/>
                <w:szCs w:val="24"/>
                <w:lang w:val="uk-UA"/>
              </w:rPr>
            </w:pPr>
          </w:p>
        </w:tc>
      </w:tr>
      <w:tr w:rsidR="00A83F42" w:rsidRPr="00435C4A" w:rsidTr="00AA4C6E">
        <w:trPr>
          <w:trHeight w:val="123"/>
        </w:trPr>
        <w:tc>
          <w:tcPr>
            <w:tcW w:w="817" w:type="dxa"/>
          </w:tcPr>
          <w:p w:rsidR="00A83F42" w:rsidRPr="00435C4A" w:rsidRDefault="00A83F42" w:rsidP="00AA4C6E">
            <w:pPr>
              <w:jc w:val="center"/>
              <w:rPr>
                <w:rFonts w:ascii="Times New Roman" w:hAnsi="Times New Roman"/>
                <w:sz w:val="24"/>
                <w:szCs w:val="24"/>
                <w:lang w:val="uk-UA"/>
              </w:rPr>
            </w:pPr>
            <w:r w:rsidRPr="00435C4A">
              <w:rPr>
                <w:rFonts w:ascii="Times New Roman" w:hAnsi="Times New Roman"/>
                <w:sz w:val="24"/>
                <w:szCs w:val="24"/>
                <w:lang w:val="uk-UA"/>
              </w:rPr>
              <w:lastRenderedPageBreak/>
              <w:t xml:space="preserve">4. </w:t>
            </w:r>
          </w:p>
        </w:tc>
        <w:tc>
          <w:tcPr>
            <w:tcW w:w="3127" w:type="dxa"/>
          </w:tcPr>
          <w:p w:rsidR="00A83F42" w:rsidRPr="00435C4A" w:rsidRDefault="00A83F42" w:rsidP="00A83F42">
            <w:pPr>
              <w:pStyle w:val="a9"/>
              <w:shd w:val="clear" w:color="auto" w:fill="FFFFFF"/>
              <w:spacing w:before="0" w:beforeAutospacing="0" w:after="120" w:afterAutospacing="0"/>
              <w:jc w:val="both"/>
              <w:rPr>
                <w:color w:val="000000"/>
                <w:lang w:val="uk-UA"/>
              </w:rPr>
            </w:pPr>
            <w:r w:rsidRPr="00435C4A">
              <w:rPr>
                <w:color w:val="000000"/>
                <w:lang w:val="uk-UA"/>
              </w:rPr>
              <w:t>5.1. Особою, що проводить дізнання, слідчим, прокурором, суддею чи судом можуть бути призначені первинна, додаткова та повторна судова експертиза. заява</w:t>
            </w:r>
          </w:p>
          <w:p w:rsidR="00A83F42" w:rsidRPr="00435C4A" w:rsidRDefault="00A83F42" w:rsidP="00FF2A11">
            <w:pPr>
              <w:pStyle w:val="3"/>
              <w:jc w:val="both"/>
              <w:outlineLvl w:val="2"/>
              <w:rPr>
                <w:b w:val="0"/>
                <w:bCs w:val="0"/>
                <w:sz w:val="24"/>
                <w:szCs w:val="24"/>
                <w:lang w:val="uk-UA"/>
              </w:rPr>
            </w:pPr>
          </w:p>
        </w:tc>
        <w:tc>
          <w:tcPr>
            <w:tcW w:w="4134" w:type="dxa"/>
          </w:tcPr>
          <w:p w:rsidR="00A83F42" w:rsidRPr="00435C4A" w:rsidRDefault="006C5630" w:rsidP="00F92DC3">
            <w:pPr>
              <w:pStyle w:val="a9"/>
              <w:jc w:val="both"/>
              <w:rPr>
                <w:lang w:val="uk-UA"/>
              </w:rPr>
            </w:pPr>
            <w:r w:rsidRPr="00435C4A">
              <w:rPr>
                <w:color w:val="000000"/>
                <w:lang w:val="uk-UA"/>
              </w:rPr>
              <w:t>5.1. Особою, що проводить дізнання, слідчим, прокурором, суддею чи судом можуть бути призначені первинна, додаткова та повторна судова експертиза.</w:t>
            </w:r>
          </w:p>
        </w:tc>
        <w:tc>
          <w:tcPr>
            <w:tcW w:w="7192" w:type="dxa"/>
          </w:tcPr>
          <w:p w:rsidR="00A83F42" w:rsidRPr="00435C4A" w:rsidRDefault="00A83F42" w:rsidP="00FF2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val="uk-UA" w:eastAsia="uk-UA"/>
              </w:rPr>
            </w:pPr>
            <w:r w:rsidRPr="00435C4A">
              <w:rPr>
                <w:rFonts w:ascii="Times New Roman" w:hAnsi="Times New Roman"/>
                <w:sz w:val="24"/>
                <w:szCs w:val="24"/>
                <w:lang w:val="uk-UA" w:eastAsia="uk-UA"/>
              </w:rPr>
              <w:t>Як видається, слово «заява» слід видалити</w:t>
            </w:r>
          </w:p>
        </w:tc>
      </w:tr>
      <w:tr w:rsidR="00751552" w:rsidRPr="00435C4A" w:rsidTr="00AA4C6E">
        <w:trPr>
          <w:trHeight w:val="123"/>
        </w:trPr>
        <w:tc>
          <w:tcPr>
            <w:tcW w:w="817" w:type="dxa"/>
          </w:tcPr>
          <w:p w:rsidR="00751552" w:rsidRPr="00435C4A" w:rsidRDefault="00751552" w:rsidP="00AA4C6E">
            <w:pPr>
              <w:jc w:val="center"/>
              <w:rPr>
                <w:rFonts w:ascii="Times New Roman" w:hAnsi="Times New Roman"/>
                <w:sz w:val="24"/>
                <w:szCs w:val="24"/>
                <w:lang w:val="uk-UA"/>
              </w:rPr>
            </w:pPr>
            <w:r>
              <w:rPr>
                <w:rFonts w:ascii="Times New Roman" w:hAnsi="Times New Roman"/>
                <w:sz w:val="24"/>
                <w:szCs w:val="24"/>
                <w:lang w:val="uk-UA"/>
              </w:rPr>
              <w:t xml:space="preserve">5. </w:t>
            </w:r>
          </w:p>
        </w:tc>
        <w:tc>
          <w:tcPr>
            <w:tcW w:w="3127" w:type="dxa"/>
          </w:tcPr>
          <w:p w:rsidR="006C5630" w:rsidRPr="006C5630" w:rsidRDefault="006C5630" w:rsidP="006C5630">
            <w:pPr>
              <w:pStyle w:val="a9"/>
              <w:jc w:val="both"/>
              <w:rPr>
                <w:lang w:val="uk-UA"/>
              </w:rPr>
            </w:pPr>
            <w:r w:rsidRPr="006C5630">
              <w:rPr>
                <w:lang w:val="uk-UA"/>
              </w:rPr>
              <w:t xml:space="preserve">3.9. Якщо у проведенні експертизи беруть участь кілька експертів, їм повинна бути надана можливість радитись між собою. </w:t>
            </w:r>
          </w:p>
          <w:p w:rsidR="006C5630" w:rsidRPr="006C5630" w:rsidRDefault="006C5630" w:rsidP="006C5630">
            <w:pPr>
              <w:pStyle w:val="a9"/>
              <w:jc w:val="both"/>
              <w:rPr>
                <w:lang w:val="uk-UA"/>
              </w:rPr>
            </w:pPr>
            <w:r w:rsidRPr="006C5630">
              <w:rPr>
                <w:lang w:val="uk-UA"/>
              </w:rPr>
              <w:t xml:space="preserve">Підсумки групи експертів у випадках їх одностайної думки підписуються всіма експертами; у разі незгоди між експертами - вони дають окремі підсумки. </w:t>
            </w:r>
          </w:p>
          <w:p w:rsidR="00751552" w:rsidRPr="00435C4A" w:rsidRDefault="00751552" w:rsidP="00A83F42">
            <w:pPr>
              <w:pStyle w:val="a9"/>
              <w:shd w:val="clear" w:color="auto" w:fill="FFFFFF"/>
              <w:spacing w:before="0" w:beforeAutospacing="0" w:after="120" w:afterAutospacing="0"/>
              <w:jc w:val="both"/>
              <w:rPr>
                <w:color w:val="000000"/>
                <w:lang w:val="uk-UA"/>
              </w:rPr>
            </w:pPr>
          </w:p>
        </w:tc>
        <w:tc>
          <w:tcPr>
            <w:tcW w:w="4134" w:type="dxa"/>
          </w:tcPr>
          <w:p w:rsidR="002C0B06" w:rsidRPr="006C5630" w:rsidRDefault="002C0B06" w:rsidP="002C0B06">
            <w:pPr>
              <w:pStyle w:val="a9"/>
              <w:jc w:val="both"/>
              <w:rPr>
                <w:lang w:val="uk-UA"/>
              </w:rPr>
            </w:pPr>
            <w:r w:rsidRPr="006C5630">
              <w:rPr>
                <w:lang w:val="uk-UA"/>
              </w:rPr>
              <w:t xml:space="preserve">Підсумки групи експертів </w:t>
            </w:r>
            <w:r w:rsidR="00C64A2B">
              <w:rPr>
                <w:lang w:val="uk-UA"/>
              </w:rPr>
              <w:t>підписуються всіма експертами.</w:t>
            </w:r>
            <w:r w:rsidRPr="006C5630">
              <w:rPr>
                <w:lang w:val="uk-UA"/>
              </w:rPr>
              <w:t xml:space="preserve"> </w:t>
            </w:r>
            <w:r w:rsidR="00C64A2B">
              <w:rPr>
                <w:lang w:val="uk-UA"/>
              </w:rPr>
              <w:t xml:space="preserve">Експерт, який підписав висновок, має право </w:t>
            </w:r>
            <w:r w:rsidR="00C64A2B" w:rsidRPr="00D16BBA">
              <w:rPr>
                <w:lang w:val="uk-UA"/>
              </w:rPr>
              <w:t>викласти у письмовій формі свою окрему думку, незалежно від того, голосував він «за» чи «проти»</w:t>
            </w:r>
            <w:r w:rsidR="00C64A2B">
              <w:rPr>
                <w:lang w:val="uk-UA"/>
              </w:rPr>
              <w:t xml:space="preserve"> висновку.</w:t>
            </w:r>
            <w:r w:rsidRPr="006C5630">
              <w:rPr>
                <w:lang w:val="uk-UA"/>
              </w:rPr>
              <w:t xml:space="preserve"> </w:t>
            </w:r>
          </w:p>
          <w:p w:rsidR="00751552" w:rsidRPr="00435C4A" w:rsidRDefault="00751552" w:rsidP="00F92DC3">
            <w:pPr>
              <w:pStyle w:val="a9"/>
              <w:jc w:val="both"/>
              <w:rPr>
                <w:lang w:val="uk-UA"/>
              </w:rPr>
            </w:pPr>
          </w:p>
        </w:tc>
        <w:tc>
          <w:tcPr>
            <w:tcW w:w="7192" w:type="dxa"/>
          </w:tcPr>
          <w:p w:rsidR="00D16BBA" w:rsidRDefault="006C5630" w:rsidP="006C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val="uk-UA" w:eastAsia="uk-UA"/>
              </w:rPr>
            </w:pPr>
            <w:r>
              <w:rPr>
                <w:rFonts w:ascii="Times New Roman" w:hAnsi="Times New Roman"/>
                <w:sz w:val="24"/>
                <w:szCs w:val="24"/>
                <w:lang w:val="uk-UA" w:eastAsia="uk-UA"/>
              </w:rPr>
              <w:t xml:space="preserve">Видається неправильним те нормативне положення, у якому передбачено можливість підготовки окремих підсумків при участь у проведенні експертизи кількох експертів. </w:t>
            </w:r>
          </w:p>
          <w:p w:rsidR="00751552" w:rsidRDefault="00D16BBA" w:rsidP="006C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val="uk-UA" w:eastAsia="uk-UA"/>
              </w:rPr>
            </w:pPr>
            <w:r>
              <w:rPr>
                <w:rFonts w:ascii="Times New Roman" w:hAnsi="Times New Roman"/>
                <w:sz w:val="24"/>
                <w:szCs w:val="24"/>
                <w:lang w:val="uk-UA" w:eastAsia="uk-UA"/>
              </w:rPr>
              <w:t>Висновок повинен бути цілісним, структурованим, а його заключна частина, де саме містяться висновки</w:t>
            </w:r>
            <w:r w:rsidR="00265C89">
              <w:rPr>
                <w:rFonts w:ascii="Times New Roman" w:hAnsi="Times New Roman"/>
                <w:sz w:val="24"/>
                <w:szCs w:val="24"/>
                <w:lang w:val="uk-UA" w:eastAsia="uk-UA"/>
              </w:rPr>
              <w:t>,</w:t>
            </w:r>
            <w:r>
              <w:rPr>
                <w:rFonts w:ascii="Times New Roman" w:hAnsi="Times New Roman"/>
                <w:sz w:val="24"/>
                <w:szCs w:val="24"/>
                <w:lang w:val="uk-UA" w:eastAsia="uk-UA"/>
              </w:rPr>
              <w:t xml:space="preserve"> повинна бути викладена чітко й однозначно. Як же забезпечити таку однозначність висновку, якщо експерти не можуть дійти згоди при проведенні експерти. </w:t>
            </w:r>
          </w:p>
          <w:p w:rsidR="00D16BBA" w:rsidRDefault="00D16BBA" w:rsidP="006C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val="uk-UA" w:eastAsia="uk-UA"/>
              </w:rPr>
            </w:pPr>
            <w:r>
              <w:rPr>
                <w:rFonts w:ascii="Times New Roman" w:hAnsi="Times New Roman"/>
                <w:sz w:val="24"/>
                <w:szCs w:val="24"/>
                <w:lang w:val="uk-UA" w:eastAsia="uk-UA"/>
              </w:rPr>
              <w:t xml:space="preserve">Звичайно, що в </w:t>
            </w:r>
            <w:r w:rsidR="00265C89">
              <w:rPr>
                <w:rFonts w:ascii="Times New Roman" w:hAnsi="Times New Roman"/>
                <w:sz w:val="24"/>
                <w:szCs w:val="24"/>
                <w:lang w:val="uk-UA" w:eastAsia="uk-UA"/>
              </w:rPr>
              <w:t xml:space="preserve">національній </w:t>
            </w:r>
            <w:r>
              <w:rPr>
                <w:rFonts w:ascii="Times New Roman" w:hAnsi="Times New Roman"/>
                <w:sz w:val="24"/>
                <w:szCs w:val="24"/>
                <w:lang w:val="uk-UA" w:eastAsia="uk-UA"/>
              </w:rPr>
              <w:t xml:space="preserve">правовій системі передбачено правничу конструкцію – окрему думку, яка може бути використана й у випадку проведення </w:t>
            </w:r>
            <w:r w:rsidR="00265C89">
              <w:rPr>
                <w:rFonts w:ascii="Times New Roman" w:hAnsi="Times New Roman"/>
                <w:sz w:val="24"/>
                <w:szCs w:val="24"/>
                <w:lang w:val="uk-UA" w:eastAsia="uk-UA"/>
              </w:rPr>
              <w:t xml:space="preserve">судових </w:t>
            </w:r>
            <w:r>
              <w:rPr>
                <w:rFonts w:ascii="Times New Roman" w:hAnsi="Times New Roman"/>
                <w:sz w:val="24"/>
                <w:szCs w:val="24"/>
                <w:lang w:val="uk-UA" w:eastAsia="uk-UA"/>
              </w:rPr>
              <w:t xml:space="preserve">експертиз. </w:t>
            </w:r>
          </w:p>
          <w:p w:rsidR="00265C89" w:rsidRDefault="00265C89" w:rsidP="006C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val="uk-UA" w:eastAsia="uk-UA"/>
              </w:rPr>
            </w:pPr>
          </w:p>
          <w:p w:rsidR="002C0B06" w:rsidRPr="001C59FA" w:rsidRDefault="00D16BBA" w:rsidP="002C0B06">
            <w:pPr>
              <w:pStyle w:val="a9"/>
              <w:spacing w:before="0" w:beforeAutospacing="0" w:after="0" w:afterAutospacing="0"/>
              <w:jc w:val="both"/>
              <w:rPr>
                <w:lang w:val="uk-UA"/>
              </w:rPr>
            </w:pPr>
            <w:r>
              <w:rPr>
                <w:lang w:val="uk-UA" w:eastAsia="uk-UA"/>
              </w:rPr>
              <w:t>За аналогією можна навести порядок підготовки окрем</w:t>
            </w:r>
            <w:r w:rsidR="00265C89">
              <w:rPr>
                <w:lang w:val="uk-UA" w:eastAsia="uk-UA"/>
              </w:rPr>
              <w:t>ої думки</w:t>
            </w:r>
            <w:r>
              <w:rPr>
                <w:lang w:val="uk-UA" w:eastAsia="uk-UA"/>
              </w:rPr>
              <w:t xml:space="preserve"> у системі судочинства. Для прикладу, в</w:t>
            </w:r>
            <w:r w:rsidRPr="00D16BBA">
              <w:rPr>
                <w:lang w:val="uk-UA"/>
              </w:rPr>
              <w:t>ідповідно до §56 Регламенту Конституційного Суду України</w:t>
            </w:r>
            <w:r>
              <w:rPr>
                <w:lang w:val="uk-UA"/>
              </w:rPr>
              <w:t>,</w:t>
            </w:r>
            <w:r w:rsidRPr="00D16BBA">
              <w:rPr>
                <w:lang w:val="uk-UA"/>
              </w:rPr>
              <w:t xml:space="preserve"> суддя Конституційного Суду України, який підписав Рішення, Висновок, має право викласти у письмовій формі свою окрему думку у справі, незалежно від того, голосував він «за» чи </w:t>
            </w:r>
            <w:r w:rsidRPr="00D16BBA">
              <w:rPr>
                <w:lang w:val="uk-UA"/>
              </w:rPr>
              <w:lastRenderedPageBreak/>
              <w:t>«проти». Такий суддя може додати до цього рішення свою окрему думку у 7-денний строк від дня голосування. Найчастіше окрема думка судді додається до рішення тоді, коли він голосував «проти», але ніщо не перешкоджає судді заявити свою окрему думку навіть якщо загалом він згоден з прийнятим рішенням, але бажає підкреслити, наприклад, певну позицію в аргументації цього рішення.</w:t>
            </w:r>
            <w:r w:rsidR="002C0B06">
              <w:rPr>
                <w:lang w:val="uk-UA"/>
              </w:rPr>
              <w:t xml:space="preserve"> </w:t>
            </w:r>
            <w:r w:rsidR="002C0B06" w:rsidRPr="002C0B06">
              <w:rPr>
                <w:lang w:val="uk-UA"/>
              </w:rPr>
              <w:t xml:space="preserve">Особлива думка у ст.64 Закону України «Про Конституційний Суд України» визначається як окрема думка Судді, який підписав рішення чи висновок КСУ. Але та окрема думка судді висловлюється у письмовій формі як незгода з думкою присутніх на засіданні Суду більшості Суддів. При цьому «незгода» одного чи деяких Суддів не повинна асоціюватися з тим, що більшістю (за висновком одного Судді) прийнято рішення безпідставно. </w:t>
            </w:r>
          </w:p>
          <w:p w:rsidR="00D16BBA" w:rsidRDefault="00D16BBA" w:rsidP="00D16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val="uk-UA"/>
              </w:rPr>
            </w:pPr>
          </w:p>
          <w:p w:rsidR="00D16BBA" w:rsidRDefault="00D16BBA" w:rsidP="00D16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val="uk-UA"/>
              </w:rPr>
            </w:pPr>
            <w:r>
              <w:rPr>
                <w:rFonts w:ascii="Times New Roman" w:hAnsi="Times New Roman"/>
                <w:sz w:val="24"/>
                <w:szCs w:val="24"/>
                <w:lang w:val="uk-UA"/>
              </w:rPr>
              <w:t xml:space="preserve">Є різні типи окремих думок: </w:t>
            </w:r>
            <w:r w:rsidRPr="00D16BBA">
              <w:rPr>
                <w:rFonts w:ascii="Times New Roman" w:hAnsi="Times New Roman"/>
                <w:sz w:val="24"/>
                <w:szCs w:val="24"/>
                <w:lang w:val="uk-UA"/>
              </w:rPr>
              <w:t xml:space="preserve">до першого </w:t>
            </w:r>
            <w:r>
              <w:rPr>
                <w:rFonts w:ascii="Times New Roman" w:hAnsi="Times New Roman"/>
                <w:sz w:val="24"/>
                <w:szCs w:val="24"/>
                <w:lang w:val="uk-UA"/>
              </w:rPr>
              <w:t>-</w:t>
            </w:r>
            <w:r w:rsidRPr="00D16BBA">
              <w:rPr>
                <w:rFonts w:ascii="Times New Roman" w:hAnsi="Times New Roman"/>
                <w:sz w:val="24"/>
                <w:szCs w:val="24"/>
                <w:lang w:val="uk-UA"/>
              </w:rPr>
              <w:t xml:space="preserve"> належать окремі думки</w:t>
            </w:r>
            <w:r w:rsidR="00265C89">
              <w:rPr>
                <w:rFonts w:ascii="Times New Roman" w:hAnsi="Times New Roman"/>
                <w:sz w:val="24"/>
                <w:szCs w:val="24"/>
                <w:lang w:val="uk-UA"/>
              </w:rPr>
              <w:t xml:space="preserve"> фахівців</w:t>
            </w:r>
            <w:r w:rsidRPr="00D16BBA">
              <w:rPr>
                <w:rFonts w:ascii="Times New Roman" w:hAnsi="Times New Roman"/>
                <w:sz w:val="24"/>
                <w:szCs w:val="24"/>
                <w:lang w:val="uk-UA"/>
              </w:rPr>
              <w:t>, які висловлюють принципову згоду з рішенням, однак наводять іншу правову аргументацію; до друго</w:t>
            </w:r>
            <w:r>
              <w:rPr>
                <w:rFonts w:ascii="Times New Roman" w:hAnsi="Times New Roman"/>
                <w:sz w:val="24"/>
                <w:szCs w:val="24"/>
                <w:lang w:val="uk-UA"/>
              </w:rPr>
              <w:t>го</w:t>
            </w:r>
            <w:r w:rsidRPr="00D16BBA">
              <w:rPr>
                <w:rFonts w:ascii="Times New Roman" w:hAnsi="Times New Roman"/>
                <w:sz w:val="24"/>
                <w:szCs w:val="24"/>
                <w:lang w:val="uk-UA"/>
              </w:rPr>
              <w:t xml:space="preserve"> </w:t>
            </w:r>
            <w:r>
              <w:rPr>
                <w:rFonts w:ascii="Times New Roman" w:hAnsi="Times New Roman"/>
                <w:sz w:val="24"/>
                <w:szCs w:val="24"/>
                <w:lang w:val="uk-UA"/>
              </w:rPr>
              <w:t>т</w:t>
            </w:r>
            <w:r w:rsidRPr="00D16BBA">
              <w:rPr>
                <w:rFonts w:ascii="Times New Roman" w:hAnsi="Times New Roman"/>
                <w:sz w:val="24"/>
                <w:szCs w:val="24"/>
                <w:lang w:val="uk-UA"/>
              </w:rPr>
              <w:t>и</w:t>
            </w:r>
            <w:r>
              <w:rPr>
                <w:rFonts w:ascii="Times New Roman" w:hAnsi="Times New Roman"/>
                <w:sz w:val="24"/>
                <w:szCs w:val="24"/>
                <w:lang w:val="uk-UA"/>
              </w:rPr>
              <w:t>пу</w:t>
            </w:r>
            <w:r w:rsidRPr="00D16BBA">
              <w:rPr>
                <w:rFonts w:ascii="Times New Roman" w:hAnsi="Times New Roman"/>
                <w:sz w:val="24"/>
                <w:szCs w:val="24"/>
                <w:lang w:val="uk-UA"/>
              </w:rPr>
              <w:t>, - які частково погоджуються із змістом рішень</w:t>
            </w:r>
            <w:r>
              <w:rPr>
                <w:rFonts w:ascii="Times New Roman" w:hAnsi="Times New Roman"/>
                <w:sz w:val="24"/>
                <w:szCs w:val="24"/>
                <w:lang w:val="uk-UA"/>
              </w:rPr>
              <w:t>; до третього типу</w:t>
            </w:r>
            <w:r w:rsidRPr="00D16BBA">
              <w:rPr>
                <w:rFonts w:ascii="Times New Roman" w:hAnsi="Times New Roman"/>
                <w:sz w:val="24"/>
                <w:szCs w:val="24"/>
                <w:lang w:val="uk-UA"/>
              </w:rPr>
              <w:t>, - які голосували проти ухваленого рішення.</w:t>
            </w:r>
          </w:p>
          <w:p w:rsidR="002C0B06" w:rsidRDefault="002C0B06" w:rsidP="00D16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val="uk-UA"/>
              </w:rPr>
            </w:pPr>
          </w:p>
          <w:p w:rsidR="002C0B06" w:rsidRPr="00D16BBA" w:rsidRDefault="002C0B06" w:rsidP="00D16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val="uk-UA" w:eastAsia="uk-UA"/>
              </w:rPr>
            </w:pPr>
            <w:r>
              <w:rPr>
                <w:rFonts w:ascii="Times New Roman" w:hAnsi="Times New Roman"/>
                <w:sz w:val="24"/>
                <w:szCs w:val="24"/>
                <w:lang w:val="uk-UA"/>
              </w:rPr>
              <w:t xml:space="preserve">Відтак, усі експерти повинні підписати підготовлений висновок за результатами </w:t>
            </w:r>
            <w:r w:rsidR="00265C89">
              <w:rPr>
                <w:rFonts w:ascii="Times New Roman" w:hAnsi="Times New Roman"/>
                <w:sz w:val="24"/>
                <w:szCs w:val="24"/>
                <w:lang w:val="uk-UA"/>
              </w:rPr>
              <w:t xml:space="preserve">проведення </w:t>
            </w:r>
            <w:r>
              <w:rPr>
                <w:rFonts w:ascii="Times New Roman" w:hAnsi="Times New Roman"/>
                <w:sz w:val="24"/>
                <w:szCs w:val="24"/>
                <w:lang w:val="uk-UA"/>
              </w:rPr>
              <w:t xml:space="preserve">експертизи, а в разі, якщо хтось з них не погоджується, то має право викласти свою позицію в окремій думці. Вона повинна долучатись до висновку, а суд її оцінюватиме за правилами дослідження письмових </w:t>
            </w:r>
            <w:r w:rsidR="00C64A2B">
              <w:rPr>
                <w:rFonts w:ascii="Times New Roman" w:hAnsi="Times New Roman"/>
                <w:sz w:val="24"/>
                <w:szCs w:val="24"/>
                <w:lang w:val="uk-UA"/>
              </w:rPr>
              <w:t>доказів</w:t>
            </w:r>
            <w:r>
              <w:rPr>
                <w:rFonts w:ascii="Times New Roman" w:hAnsi="Times New Roman"/>
                <w:sz w:val="24"/>
                <w:szCs w:val="24"/>
                <w:lang w:val="uk-UA"/>
              </w:rPr>
              <w:t xml:space="preserve"> у справі. </w:t>
            </w:r>
          </w:p>
        </w:tc>
      </w:tr>
    </w:tbl>
    <w:p w:rsidR="00291BAF" w:rsidRDefault="00291BAF" w:rsidP="00D362B9">
      <w:pPr>
        <w:spacing w:after="0"/>
        <w:rPr>
          <w:lang w:val="uk-UA"/>
        </w:rPr>
      </w:pPr>
    </w:p>
    <w:p w:rsidR="002044D7" w:rsidRDefault="002044D7" w:rsidP="00D362B9">
      <w:pPr>
        <w:spacing w:after="0"/>
        <w:rPr>
          <w:lang w:val="uk-UA"/>
        </w:rPr>
      </w:pPr>
    </w:p>
    <w:p w:rsidR="00D362B9" w:rsidRDefault="002044D7" w:rsidP="00D362B9">
      <w:pPr>
        <w:spacing w:after="0"/>
        <w:ind w:firstLine="567"/>
        <w:jc w:val="both"/>
        <w:rPr>
          <w:rFonts w:ascii="Times New Roman" w:hAnsi="Times New Roman"/>
          <w:sz w:val="24"/>
          <w:szCs w:val="24"/>
          <w:lang w:val="uk-UA"/>
        </w:rPr>
      </w:pPr>
      <w:r>
        <w:rPr>
          <w:rFonts w:ascii="Times New Roman" w:hAnsi="Times New Roman"/>
          <w:sz w:val="24"/>
          <w:szCs w:val="24"/>
          <w:lang w:val="uk-UA"/>
        </w:rPr>
        <w:t>Завідувач кафедри медичного права</w:t>
      </w:r>
      <w:r w:rsidR="00D362B9">
        <w:rPr>
          <w:rFonts w:ascii="Times New Roman" w:hAnsi="Times New Roman"/>
          <w:sz w:val="24"/>
          <w:szCs w:val="24"/>
          <w:lang w:val="uk-UA"/>
        </w:rPr>
        <w:t>,</w:t>
      </w:r>
    </w:p>
    <w:p w:rsidR="002044D7" w:rsidRPr="00546B39" w:rsidRDefault="00D362B9" w:rsidP="00D362B9">
      <w:pPr>
        <w:spacing w:after="0"/>
        <w:ind w:firstLine="567"/>
        <w:jc w:val="both"/>
        <w:rPr>
          <w:rFonts w:ascii="Times New Roman" w:hAnsi="Times New Roman"/>
          <w:sz w:val="24"/>
          <w:szCs w:val="24"/>
          <w:lang w:val="uk-UA"/>
        </w:rPr>
      </w:pPr>
      <w:proofErr w:type="spellStart"/>
      <w:r>
        <w:rPr>
          <w:rFonts w:ascii="Times New Roman" w:hAnsi="Times New Roman"/>
          <w:sz w:val="24"/>
          <w:szCs w:val="24"/>
          <w:lang w:val="uk-UA"/>
        </w:rPr>
        <w:t>к.ю.н</w:t>
      </w:r>
      <w:proofErr w:type="spellEnd"/>
      <w:r>
        <w:rPr>
          <w:rFonts w:ascii="Times New Roman" w:hAnsi="Times New Roman"/>
          <w:sz w:val="24"/>
          <w:szCs w:val="24"/>
          <w:lang w:val="uk-UA"/>
        </w:rPr>
        <w:t xml:space="preserve">, доцент </w:t>
      </w:r>
      <w:r w:rsidR="002044D7">
        <w:rPr>
          <w:rFonts w:ascii="Times New Roman" w:hAnsi="Times New Roman"/>
          <w:sz w:val="24"/>
          <w:szCs w:val="24"/>
          <w:lang w:val="uk-UA"/>
        </w:rPr>
        <w:tab/>
      </w:r>
      <w:r w:rsidR="002044D7">
        <w:rPr>
          <w:rFonts w:ascii="Times New Roman" w:hAnsi="Times New Roman"/>
          <w:sz w:val="24"/>
          <w:szCs w:val="24"/>
          <w:lang w:val="uk-UA"/>
        </w:rPr>
        <w:tab/>
      </w:r>
      <w:r w:rsidR="002044D7">
        <w:rPr>
          <w:rFonts w:ascii="Times New Roman" w:hAnsi="Times New Roman"/>
          <w:sz w:val="24"/>
          <w:szCs w:val="24"/>
          <w:lang w:val="uk-UA"/>
        </w:rPr>
        <w:tab/>
      </w:r>
      <w:r w:rsidR="002044D7">
        <w:rPr>
          <w:rFonts w:ascii="Times New Roman" w:hAnsi="Times New Roman"/>
          <w:sz w:val="24"/>
          <w:szCs w:val="24"/>
          <w:lang w:val="uk-UA"/>
        </w:rPr>
        <w:tab/>
      </w:r>
      <w:r w:rsidR="002044D7">
        <w:rPr>
          <w:rFonts w:ascii="Times New Roman" w:hAnsi="Times New Roman"/>
          <w:sz w:val="24"/>
          <w:szCs w:val="24"/>
          <w:lang w:val="uk-UA"/>
        </w:rPr>
        <w:tab/>
      </w:r>
      <w:r w:rsidR="002044D7">
        <w:rPr>
          <w:rFonts w:ascii="Times New Roman" w:hAnsi="Times New Roman"/>
          <w:sz w:val="24"/>
          <w:szCs w:val="24"/>
          <w:lang w:val="uk-UA"/>
        </w:rPr>
        <w:tab/>
      </w:r>
      <w:r w:rsidR="002044D7">
        <w:rPr>
          <w:rFonts w:ascii="Times New Roman" w:hAnsi="Times New Roman"/>
          <w:sz w:val="24"/>
          <w:szCs w:val="24"/>
          <w:lang w:val="uk-UA"/>
        </w:rPr>
        <w:tab/>
      </w:r>
      <w:r w:rsidR="002044D7">
        <w:rPr>
          <w:rFonts w:ascii="Times New Roman" w:hAnsi="Times New Roman"/>
          <w:sz w:val="24"/>
          <w:szCs w:val="24"/>
          <w:lang w:val="uk-UA"/>
        </w:rPr>
        <w:tab/>
      </w:r>
      <w:r w:rsidR="002044D7">
        <w:rPr>
          <w:rFonts w:ascii="Times New Roman" w:hAnsi="Times New Roman"/>
          <w:sz w:val="24"/>
          <w:szCs w:val="24"/>
          <w:lang w:val="uk-UA"/>
        </w:rPr>
        <w:tab/>
      </w:r>
      <w:r w:rsidR="002044D7">
        <w:rPr>
          <w:rFonts w:ascii="Times New Roman" w:hAnsi="Times New Roman"/>
          <w:sz w:val="24"/>
          <w:szCs w:val="24"/>
          <w:lang w:val="uk-UA"/>
        </w:rPr>
        <w:tab/>
        <w:t xml:space="preserve">Ірина </w:t>
      </w:r>
      <w:proofErr w:type="spellStart"/>
      <w:r w:rsidR="002044D7">
        <w:rPr>
          <w:rFonts w:ascii="Times New Roman" w:hAnsi="Times New Roman"/>
          <w:sz w:val="24"/>
          <w:szCs w:val="24"/>
          <w:lang w:val="uk-UA"/>
        </w:rPr>
        <w:t>Сенюта</w:t>
      </w:r>
      <w:proofErr w:type="spellEnd"/>
    </w:p>
    <w:p w:rsidR="002044D7" w:rsidRPr="00435C4A" w:rsidRDefault="002044D7">
      <w:pPr>
        <w:rPr>
          <w:lang w:val="uk-UA"/>
        </w:rPr>
      </w:pPr>
    </w:p>
    <w:sectPr w:rsidR="002044D7" w:rsidRPr="00435C4A" w:rsidSect="006A3E2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76AB1"/>
    <w:multiLevelType w:val="hybridMultilevel"/>
    <w:tmpl w:val="DF846C9E"/>
    <w:lvl w:ilvl="0" w:tplc="71289FDA">
      <w:start w:val="1"/>
      <w:numFmt w:val="decimal"/>
      <w:lvlText w:val="%1)"/>
      <w:lvlJc w:val="left"/>
      <w:pPr>
        <w:ind w:left="720" w:hanging="360"/>
      </w:pPr>
      <w:rPr>
        <w:rFonts w:ascii="Times New Roman" w:hAnsi="Times New Roman"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E431515"/>
    <w:multiLevelType w:val="hybridMultilevel"/>
    <w:tmpl w:val="66122DD2"/>
    <w:lvl w:ilvl="0" w:tplc="09BA7EEA">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drawingGridHorizontalSpacing w:val="110"/>
  <w:displayHorizontalDrawingGridEvery w:val="2"/>
  <w:characterSpacingControl w:val="doNotCompress"/>
  <w:compat/>
  <w:rsids>
    <w:rsidRoot w:val="006A3E26"/>
    <w:rsid w:val="00033C7E"/>
    <w:rsid w:val="000C6B9E"/>
    <w:rsid w:val="0019664D"/>
    <w:rsid w:val="001C59FA"/>
    <w:rsid w:val="002044D7"/>
    <w:rsid w:val="00265C89"/>
    <w:rsid w:val="00291BAF"/>
    <w:rsid w:val="002C0B06"/>
    <w:rsid w:val="00396C3B"/>
    <w:rsid w:val="00435C4A"/>
    <w:rsid w:val="006A3E26"/>
    <w:rsid w:val="006C5630"/>
    <w:rsid w:val="00751552"/>
    <w:rsid w:val="00761486"/>
    <w:rsid w:val="007A7D58"/>
    <w:rsid w:val="0089226C"/>
    <w:rsid w:val="00897078"/>
    <w:rsid w:val="008A68FA"/>
    <w:rsid w:val="008D37C4"/>
    <w:rsid w:val="00945431"/>
    <w:rsid w:val="00A00699"/>
    <w:rsid w:val="00A83F42"/>
    <w:rsid w:val="00B168DD"/>
    <w:rsid w:val="00B83A2A"/>
    <w:rsid w:val="00BE175D"/>
    <w:rsid w:val="00C64A2B"/>
    <w:rsid w:val="00C83EC8"/>
    <w:rsid w:val="00C841B0"/>
    <w:rsid w:val="00D16BBA"/>
    <w:rsid w:val="00D362B9"/>
    <w:rsid w:val="00D463BC"/>
    <w:rsid w:val="00E3182D"/>
    <w:rsid w:val="00EE46BF"/>
    <w:rsid w:val="00F92DC3"/>
    <w:rsid w:val="00FF2A1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E26"/>
    <w:rPr>
      <w:rFonts w:ascii="Calibri" w:eastAsia="Times New Roman" w:hAnsi="Calibri" w:cs="Times New Roman"/>
      <w:lang w:val="ru-RU" w:eastAsia="ru-RU"/>
    </w:rPr>
  </w:style>
  <w:style w:type="paragraph" w:styleId="3">
    <w:name w:val="heading 3"/>
    <w:basedOn w:val="a"/>
    <w:link w:val="30"/>
    <w:uiPriority w:val="99"/>
    <w:qFormat/>
    <w:rsid w:val="00FF2A1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E26"/>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4">
    <w:name w:val="Верхний колонтитул Знак"/>
    <w:basedOn w:val="a0"/>
    <w:link w:val="a3"/>
    <w:uiPriority w:val="99"/>
    <w:rsid w:val="006A3E26"/>
    <w:rPr>
      <w:lang w:val="ru-RU"/>
    </w:rPr>
  </w:style>
  <w:style w:type="table" w:styleId="a5">
    <w:name w:val="Table Grid"/>
    <w:basedOn w:val="a1"/>
    <w:rsid w:val="006A3E26"/>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A3E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A3E26"/>
    <w:rPr>
      <w:rFonts w:ascii="Tahoma" w:eastAsia="Times New Roman" w:hAnsi="Tahoma" w:cs="Tahoma"/>
      <w:sz w:val="16"/>
      <w:szCs w:val="16"/>
      <w:lang w:val="ru-RU" w:eastAsia="ru-RU"/>
    </w:rPr>
  </w:style>
  <w:style w:type="paragraph" w:styleId="a8">
    <w:name w:val="List Paragraph"/>
    <w:basedOn w:val="a"/>
    <w:uiPriority w:val="34"/>
    <w:qFormat/>
    <w:rsid w:val="006A3E26"/>
    <w:pPr>
      <w:ind w:left="720"/>
      <w:contextualSpacing/>
    </w:pPr>
  </w:style>
  <w:style w:type="paragraph" w:styleId="a9">
    <w:name w:val="Normal (Web)"/>
    <w:basedOn w:val="a"/>
    <w:uiPriority w:val="99"/>
    <w:rsid w:val="00F92DC3"/>
    <w:pPr>
      <w:spacing w:before="100" w:beforeAutospacing="1" w:after="100" w:afterAutospacing="1" w:line="240" w:lineRule="auto"/>
    </w:pPr>
    <w:rPr>
      <w:rFonts w:ascii="Times New Roman" w:hAnsi="Times New Roman"/>
      <w:sz w:val="24"/>
      <w:szCs w:val="24"/>
    </w:rPr>
  </w:style>
  <w:style w:type="character" w:styleId="aa">
    <w:name w:val="Hyperlink"/>
    <w:basedOn w:val="a0"/>
    <w:uiPriority w:val="99"/>
    <w:semiHidden/>
    <w:unhideWhenUsed/>
    <w:rsid w:val="00A00699"/>
    <w:rPr>
      <w:color w:val="0000FF"/>
      <w:u w:val="single"/>
    </w:rPr>
  </w:style>
  <w:style w:type="paragraph" w:styleId="HTML">
    <w:name w:val="HTML Preformatted"/>
    <w:basedOn w:val="a"/>
    <w:link w:val="HTML0"/>
    <w:uiPriority w:val="99"/>
    <w:unhideWhenUsed/>
    <w:rsid w:val="00FF2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FF2A11"/>
    <w:rPr>
      <w:rFonts w:ascii="Courier New" w:eastAsia="Times New Roman" w:hAnsi="Courier New" w:cs="Courier New"/>
      <w:sz w:val="20"/>
      <w:szCs w:val="20"/>
      <w:lang w:eastAsia="uk-UA"/>
    </w:rPr>
  </w:style>
  <w:style w:type="character" w:customStyle="1" w:styleId="30">
    <w:name w:val="Заголовок 3 Знак"/>
    <w:basedOn w:val="a0"/>
    <w:link w:val="3"/>
    <w:uiPriority w:val="99"/>
    <w:rsid w:val="00FF2A11"/>
    <w:rPr>
      <w:rFonts w:ascii="Times New Roman" w:eastAsia="Times New Roman" w:hAnsi="Times New Roman" w:cs="Times New Roman"/>
      <w:b/>
      <w:bCs/>
      <w:sz w:val="27"/>
      <w:szCs w:val="27"/>
      <w:lang w:val="ru-RU" w:eastAsia="ru-RU"/>
    </w:rPr>
  </w:style>
</w:styles>
</file>

<file path=word/webSettings.xml><?xml version="1.0" encoding="utf-8"?>
<w:webSettings xmlns:r="http://schemas.openxmlformats.org/officeDocument/2006/relationships" xmlns:w="http://schemas.openxmlformats.org/wordprocessingml/2006/main">
  <w:divs>
    <w:div w:id="119034987">
      <w:bodyDiv w:val="1"/>
      <w:marLeft w:val="0"/>
      <w:marRight w:val="0"/>
      <w:marTop w:val="0"/>
      <w:marBottom w:val="0"/>
      <w:divBdr>
        <w:top w:val="none" w:sz="0" w:space="0" w:color="auto"/>
        <w:left w:val="none" w:sz="0" w:space="0" w:color="auto"/>
        <w:bottom w:val="none" w:sz="0" w:space="0" w:color="auto"/>
        <w:right w:val="none" w:sz="0" w:space="0" w:color="auto"/>
      </w:divBdr>
    </w:div>
    <w:div w:id="181208278">
      <w:bodyDiv w:val="1"/>
      <w:marLeft w:val="0"/>
      <w:marRight w:val="0"/>
      <w:marTop w:val="0"/>
      <w:marBottom w:val="0"/>
      <w:divBdr>
        <w:top w:val="none" w:sz="0" w:space="0" w:color="auto"/>
        <w:left w:val="none" w:sz="0" w:space="0" w:color="auto"/>
        <w:bottom w:val="none" w:sz="0" w:space="0" w:color="auto"/>
        <w:right w:val="none" w:sz="0" w:space="0" w:color="auto"/>
      </w:divBdr>
    </w:div>
    <w:div w:id="247811140">
      <w:bodyDiv w:val="1"/>
      <w:marLeft w:val="0"/>
      <w:marRight w:val="0"/>
      <w:marTop w:val="0"/>
      <w:marBottom w:val="0"/>
      <w:divBdr>
        <w:top w:val="none" w:sz="0" w:space="0" w:color="auto"/>
        <w:left w:val="none" w:sz="0" w:space="0" w:color="auto"/>
        <w:bottom w:val="none" w:sz="0" w:space="0" w:color="auto"/>
        <w:right w:val="none" w:sz="0" w:space="0" w:color="auto"/>
      </w:divBdr>
    </w:div>
    <w:div w:id="319047158">
      <w:bodyDiv w:val="1"/>
      <w:marLeft w:val="0"/>
      <w:marRight w:val="0"/>
      <w:marTop w:val="0"/>
      <w:marBottom w:val="0"/>
      <w:divBdr>
        <w:top w:val="none" w:sz="0" w:space="0" w:color="auto"/>
        <w:left w:val="none" w:sz="0" w:space="0" w:color="auto"/>
        <w:bottom w:val="none" w:sz="0" w:space="0" w:color="auto"/>
        <w:right w:val="none" w:sz="0" w:space="0" w:color="auto"/>
      </w:divBdr>
    </w:div>
    <w:div w:id="1017002091">
      <w:bodyDiv w:val="1"/>
      <w:marLeft w:val="0"/>
      <w:marRight w:val="0"/>
      <w:marTop w:val="0"/>
      <w:marBottom w:val="0"/>
      <w:divBdr>
        <w:top w:val="none" w:sz="0" w:space="0" w:color="auto"/>
        <w:left w:val="none" w:sz="0" w:space="0" w:color="auto"/>
        <w:bottom w:val="none" w:sz="0" w:space="0" w:color="auto"/>
        <w:right w:val="none" w:sz="0" w:space="0" w:color="auto"/>
      </w:divBdr>
    </w:div>
    <w:div w:id="1477650511">
      <w:bodyDiv w:val="1"/>
      <w:marLeft w:val="0"/>
      <w:marRight w:val="0"/>
      <w:marTop w:val="0"/>
      <w:marBottom w:val="0"/>
      <w:divBdr>
        <w:top w:val="none" w:sz="0" w:space="0" w:color="auto"/>
        <w:left w:val="none" w:sz="0" w:space="0" w:color="auto"/>
        <w:bottom w:val="none" w:sz="0" w:space="0" w:color="auto"/>
        <w:right w:val="none" w:sz="0" w:space="0" w:color="auto"/>
      </w:divBdr>
    </w:div>
    <w:div w:id="1489980186">
      <w:bodyDiv w:val="1"/>
      <w:marLeft w:val="0"/>
      <w:marRight w:val="0"/>
      <w:marTop w:val="0"/>
      <w:marBottom w:val="0"/>
      <w:divBdr>
        <w:top w:val="none" w:sz="0" w:space="0" w:color="auto"/>
        <w:left w:val="none" w:sz="0" w:space="0" w:color="auto"/>
        <w:bottom w:val="none" w:sz="0" w:space="0" w:color="auto"/>
        <w:right w:val="none" w:sz="0" w:space="0" w:color="auto"/>
      </w:divBdr>
    </w:div>
    <w:div w:id="1615088716">
      <w:bodyDiv w:val="1"/>
      <w:marLeft w:val="0"/>
      <w:marRight w:val="0"/>
      <w:marTop w:val="0"/>
      <w:marBottom w:val="0"/>
      <w:divBdr>
        <w:top w:val="none" w:sz="0" w:space="0" w:color="auto"/>
        <w:left w:val="none" w:sz="0" w:space="0" w:color="auto"/>
        <w:bottom w:val="none" w:sz="0" w:space="0" w:color="auto"/>
        <w:right w:val="none" w:sz="0" w:space="0" w:color="auto"/>
      </w:divBdr>
    </w:div>
    <w:div w:id="1639458752">
      <w:bodyDiv w:val="1"/>
      <w:marLeft w:val="0"/>
      <w:marRight w:val="0"/>
      <w:marTop w:val="0"/>
      <w:marBottom w:val="0"/>
      <w:divBdr>
        <w:top w:val="none" w:sz="0" w:space="0" w:color="auto"/>
        <w:left w:val="none" w:sz="0" w:space="0" w:color="auto"/>
        <w:bottom w:val="none" w:sz="0" w:space="0" w:color="auto"/>
        <w:right w:val="none" w:sz="0" w:space="0" w:color="auto"/>
      </w:divBdr>
    </w:div>
    <w:div w:id="1826432199">
      <w:bodyDiv w:val="1"/>
      <w:marLeft w:val="0"/>
      <w:marRight w:val="0"/>
      <w:marTop w:val="0"/>
      <w:marBottom w:val="0"/>
      <w:divBdr>
        <w:top w:val="none" w:sz="0" w:space="0" w:color="auto"/>
        <w:left w:val="none" w:sz="0" w:space="0" w:color="auto"/>
        <w:bottom w:val="none" w:sz="0" w:space="0" w:color="auto"/>
        <w:right w:val="none" w:sz="0" w:space="0" w:color="auto"/>
      </w:divBdr>
    </w:div>
    <w:div w:id="19497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7</Pages>
  <Words>10296</Words>
  <Characters>5870</Characters>
  <Application>Microsoft Office Word</Application>
  <DocSecurity>0</DocSecurity>
  <Lines>48</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2014-07-02T11:31:00Z</dcterms:created>
  <dcterms:modified xsi:type="dcterms:W3CDTF">2014-07-02T14:47:00Z</dcterms:modified>
</cp:coreProperties>
</file>