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93" w:rsidRPr="00813ACE" w:rsidRDefault="00AF2C90" w:rsidP="00B06593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noProof/>
          <w:lang w:eastAsia="uk-UA"/>
        </w:rPr>
        <w:drawing>
          <wp:inline distT="0" distB="0" distL="0" distR="0">
            <wp:extent cx="4000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93" w:rsidRPr="00813ACE" w:rsidRDefault="00B06593" w:rsidP="00B06593">
      <w:pPr>
        <w:jc w:val="center"/>
        <w:rPr>
          <w:rFonts w:ascii="Times New Roman CYR" w:hAnsi="Times New Roman CYR"/>
          <w:sz w:val="20"/>
          <w:szCs w:val="20"/>
          <w:lang w:val="en-US"/>
        </w:rPr>
      </w:pPr>
    </w:p>
    <w:p w:rsidR="00B06593" w:rsidRPr="00813ACE" w:rsidRDefault="00B06593" w:rsidP="00B06593">
      <w:pPr>
        <w:jc w:val="center"/>
        <w:rPr>
          <w:b/>
          <w:sz w:val="32"/>
          <w:szCs w:val="32"/>
        </w:rPr>
      </w:pPr>
      <w:r w:rsidRPr="00813ACE">
        <w:rPr>
          <w:b/>
          <w:sz w:val="32"/>
          <w:szCs w:val="32"/>
        </w:rPr>
        <w:t>МІНІСТЕРСТВО ОХОРОНИ ЗДОРОВ</w:t>
      </w:r>
      <w:r>
        <w:rPr>
          <w:b/>
          <w:sz w:val="32"/>
          <w:szCs w:val="32"/>
        </w:rPr>
        <w:t>’</w:t>
      </w:r>
      <w:r w:rsidRPr="00813ACE">
        <w:rPr>
          <w:b/>
          <w:sz w:val="32"/>
          <w:szCs w:val="32"/>
        </w:rPr>
        <w:t>Я УКРАЇНИ</w:t>
      </w:r>
    </w:p>
    <w:p w:rsidR="00B06593" w:rsidRPr="00813ACE" w:rsidRDefault="00B06593" w:rsidP="00B06593">
      <w:pPr>
        <w:rPr>
          <w:sz w:val="20"/>
          <w:szCs w:val="20"/>
        </w:rPr>
      </w:pPr>
    </w:p>
    <w:p w:rsidR="00B06593" w:rsidRPr="00813ACE" w:rsidRDefault="00B06593" w:rsidP="00B06593">
      <w:pPr>
        <w:jc w:val="center"/>
        <w:rPr>
          <w:b/>
          <w:spacing w:val="60"/>
          <w:sz w:val="30"/>
          <w:szCs w:val="30"/>
        </w:rPr>
      </w:pPr>
      <w:r w:rsidRPr="00813ACE">
        <w:rPr>
          <w:b/>
          <w:spacing w:val="60"/>
          <w:sz w:val="30"/>
          <w:szCs w:val="30"/>
        </w:rPr>
        <w:t>НАКАЗ</w:t>
      </w:r>
    </w:p>
    <w:p w:rsidR="00B06593" w:rsidRPr="00813ACE" w:rsidRDefault="00B06593" w:rsidP="00B06593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80"/>
        <w:gridCol w:w="3271"/>
        <w:gridCol w:w="3280"/>
      </w:tblGrid>
      <w:tr w:rsidR="00B06593" w:rsidRPr="00813ACE">
        <w:tc>
          <w:tcPr>
            <w:tcW w:w="3284" w:type="dxa"/>
          </w:tcPr>
          <w:p w:rsidR="00B06593" w:rsidRPr="00F4156E" w:rsidRDefault="00B06593" w:rsidP="004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_______02.04.2014____</w:t>
            </w:r>
          </w:p>
        </w:tc>
        <w:tc>
          <w:tcPr>
            <w:tcW w:w="3285" w:type="dxa"/>
          </w:tcPr>
          <w:p w:rsidR="00B06593" w:rsidRPr="00F4156E" w:rsidRDefault="00B06593" w:rsidP="00424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F4156E">
              <w:rPr>
                <w:sz w:val="24"/>
                <w:szCs w:val="24"/>
              </w:rPr>
              <w:t>Київ</w:t>
            </w:r>
          </w:p>
        </w:tc>
        <w:tc>
          <w:tcPr>
            <w:tcW w:w="3285" w:type="dxa"/>
          </w:tcPr>
          <w:p w:rsidR="00B06593" w:rsidRPr="00F4156E" w:rsidRDefault="00B06593" w:rsidP="004241C2">
            <w:pPr>
              <w:ind w:firstLine="172"/>
              <w:rPr>
                <w:sz w:val="24"/>
                <w:szCs w:val="24"/>
                <w:lang w:val="en-US"/>
              </w:rPr>
            </w:pPr>
            <w:r w:rsidRPr="00F4156E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__233</w:t>
            </w:r>
            <w:r w:rsidRPr="00F4156E">
              <w:rPr>
                <w:sz w:val="24"/>
                <w:szCs w:val="24"/>
              </w:rPr>
              <w:t>_______</w:t>
            </w:r>
            <w:r w:rsidRPr="00F4156E">
              <w:rPr>
                <w:sz w:val="24"/>
                <w:szCs w:val="24"/>
                <w:lang w:val="en-US"/>
              </w:rPr>
              <w:t>______</w:t>
            </w:r>
          </w:p>
        </w:tc>
      </w:tr>
      <w:tr w:rsidR="00B06593" w:rsidRPr="00813ACE">
        <w:tc>
          <w:tcPr>
            <w:tcW w:w="3284" w:type="dxa"/>
          </w:tcPr>
          <w:p w:rsidR="00B06593" w:rsidRPr="00813ACE" w:rsidRDefault="00B06593" w:rsidP="004241C2"/>
        </w:tc>
        <w:tc>
          <w:tcPr>
            <w:tcW w:w="3285" w:type="dxa"/>
          </w:tcPr>
          <w:p w:rsidR="00B06593" w:rsidRPr="00813ACE" w:rsidRDefault="00B06593" w:rsidP="004241C2"/>
        </w:tc>
        <w:tc>
          <w:tcPr>
            <w:tcW w:w="3285" w:type="dxa"/>
          </w:tcPr>
          <w:p w:rsidR="00B06593" w:rsidRPr="00813ACE" w:rsidRDefault="00B06593" w:rsidP="004241C2"/>
        </w:tc>
      </w:tr>
    </w:tbl>
    <w:p w:rsidR="00B06593" w:rsidRDefault="00B06593" w:rsidP="00B06593">
      <w:pPr>
        <w:rPr>
          <w:lang w:val="ru-RU"/>
        </w:rPr>
      </w:pPr>
    </w:p>
    <w:p w:rsidR="00B06593" w:rsidRPr="006115FC" w:rsidRDefault="00B06593" w:rsidP="00B06593">
      <w:pPr>
        <w:rPr>
          <w:lang w:val="ru-RU"/>
        </w:rPr>
      </w:pPr>
    </w:p>
    <w:p w:rsidR="00B06593" w:rsidRPr="00813ACE" w:rsidRDefault="00B06593" w:rsidP="00B06593"/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22"/>
        <w:gridCol w:w="4823"/>
      </w:tblGrid>
      <w:tr w:rsidR="00B06593" w:rsidRPr="00813ACE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</w:tcPr>
          <w:p w:rsidR="00B06593" w:rsidRPr="00A629FE" w:rsidRDefault="00B06593" w:rsidP="004241C2">
            <w:pPr>
              <w:rPr>
                <w:bCs/>
              </w:rPr>
            </w:pPr>
            <w:r w:rsidRPr="00A629FE">
              <w:rPr>
                <w:bCs/>
              </w:rPr>
              <w:t xml:space="preserve">Про затвердження та впровадження медико-технологічних документів зі стандартизації медичної допомоги при </w:t>
            </w:r>
            <w:r>
              <w:rPr>
                <w:bCs/>
              </w:rPr>
              <w:t>вірусному гепатиті 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06593" w:rsidRPr="00813ACE" w:rsidRDefault="00B06593" w:rsidP="004241C2"/>
        </w:tc>
      </w:tr>
    </w:tbl>
    <w:p w:rsidR="00B06593" w:rsidRPr="00813ACE" w:rsidRDefault="00B06593" w:rsidP="00B06593"/>
    <w:p w:rsidR="00B06593" w:rsidRDefault="00B06593" w:rsidP="00B06593"/>
    <w:p w:rsidR="00B06593" w:rsidRDefault="00B06593" w:rsidP="00B06593"/>
    <w:p w:rsidR="00B06593" w:rsidRPr="00813ACE" w:rsidRDefault="00B06593" w:rsidP="00B06593"/>
    <w:p w:rsidR="00B06593" w:rsidRDefault="00B06593" w:rsidP="00B06593">
      <w:pPr>
        <w:spacing w:after="112"/>
        <w:ind w:firstLine="708"/>
        <w:jc w:val="both"/>
      </w:pPr>
      <w:r w:rsidRPr="002E0909">
        <w:t>Відповідно до частини першої статті</w:t>
      </w:r>
      <w:r>
        <w:t> 14</w:t>
      </w:r>
      <w:r w:rsidRPr="00026734">
        <w:rPr>
          <w:vertAlign w:val="superscript"/>
        </w:rPr>
        <w:t>1</w:t>
      </w:r>
      <w:r w:rsidRPr="002E0909">
        <w:t xml:space="preserve"> Основ законодавства України про охорону здоров</w:t>
      </w:r>
      <w:r>
        <w:t>’</w:t>
      </w:r>
      <w:r w:rsidRPr="002E0909">
        <w:t>я, підпункту</w:t>
      </w:r>
      <w:r>
        <w:t> </w:t>
      </w:r>
      <w:r w:rsidRPr="002E0909">
        <w:t>6.3 підпункту</w:t>
      </w:r>
      <w:r>
        <w:t> </w:t>
      </w:r>
      <w:r w:rsidRPr="002E0909">
        <w:t>6 пункту</w:t>
      </w:r>
      <w:r>
        <w:t> </w:t>
      </w:r>
      <w:r w:rsidRPr="002E0909">
        <w:t>4 Положення про Міністерство охорони здоров</w:t>
      </w:r>
      <w:r>
        <w:t>’</w:t>
      </w:r>
      <w:r w:rsidRPr="002E0909">
        <w:t>я України, затвердженого Указом Президента України від 13 квітня 2011 року №</w:t>
      </w:r>
      <w:r>
        <w:t> </w:t>
      </w:r>
      <w:r w:rsidRPr="002E0909">
        <w:t>467, наказу Міністерства охорони здоров</w:t>
      </w:r>
      <w:r>
        <w:t>’</w:t>
      </w:r>
      <w:r w:rsidRPr="002E0909">
        <w:t>я України від 28 вересня 2012 року №</w:t>
      </w:r>
      <w:r>
        <w:t> </w:t>
      </w:r>
      <w:r w:rsidRPr="002E0909">
        <w:t>751 «Про створення та впровадження медико-технологічних документів зі стандартизації медичної допомоги в системі Міністерства охорони здоров</w:t>
      </w:r>
      <w:r>
        <w:t>’</w:t>
      </w:r>
      <w:r w:rsidRPr="002E0909">
        <w:t>я України»</w:t>
      </w:r>
      <w:r>
        <w:t>,</w:t>
      </w:r>
      <w:r w:rsidRPr="002E0909">
        <w:t xml:space="preserve"> зареєстрованого в Міністерстві юстиції України 29</w:t>
      </w:r>
      <w:r>
        <w:t> </w:t>
      </w:r>
      <w:r w:rsidRPr="002E0909">
        <w:t>листопада 2012</w:t>
      </w:r>
      <w:r>
        <w:t> </w:t>
      </w:r>
      <w:r w:rsidRPr="002E0909">
        <w:t>року за №</w:t>
      </w:r>
      <w:r>
        <w:t> </w:t>
      </w:r>
      <w:r w:rsidRPr="002E0909">
        <w:t>2001/22313, з метою удосконалення медичної допомоги</w:t>
      </w:r>
      <w:r>
        <w:t xml:space="preserve"> </w:t>
      </w:r>
      <w:r w:rsidRPr="00A629FE">
        <w:rPr>
          <w:bCs/>
        </w:rPr>
        <w:t xml:space="preserve">при </w:t>
      </w:r>
      <w:r>
        <w:rPr>
          <w:bCs/>
        </w:rPr>
        <w:t>вірусному гепатиті С</w:t>
      </w:r>
    </w:p>
    <w:p w:rsidR="00B06593" w:rsidRPr="00F4156E" w:rsidRDefault="00B06593" w:rsidP="00B06593">
      <w:pPr>
        <w:jc w:val="both"/>
        <w:rPr>
          <w:lang w:val="ru-RU"/>
        </w:rPr>
      </w:pPr>
    </w:p>
    <w:p w:rsidR="00B06593" w:rsidRPr="00F4156E" w:rsidRDefault="00B06593" w:rsidP="00B06593">
      <w:pPr>
        <w:jc w:val="both"/>
        <w:rPr>
          <w:lang w:val="ru-RU"/>
        </w:rPr>
      </w:pPr>
    </w:p>
    <w:p w:rsidR="00B06593" w:rsidRPr="00813ACE" w:rsidRDefault="00B06593" w:rsidP="00B06593">
      <w:pPr>
        <w:shd w:val="clear" w:color="auto" w:fill="FFFFFF"/>
        <w:spacing w:after="78"/>
      </w:pPr>
      <w:r w:rsidRPr="00813ACE">
        <w:rPr>
          <w:b/>
          <w:bCs/>
        </w:rPr>
        <w:t>НАКАЗУЮ:</w:t>
      </w:r>
    </w:p>
    <w:p w:rsidR="00B06593" w:rsidRPr="00813ACE" w:rsidRDefault="00B06593" w:rsidP="00B06593">
      <w:pPr>
        <w:shd w:val="clear" w:color="auto" w:fill="FFFFFF"/>
        <w:spacing w:after="78"/>
      </w:pPr>
    </w:p>
    <w:p w:rsidR="00B06593" w:rsidRPr="00813ACE" w:rsidRDefault="00B06593" w:rsidP="00B06593">
      <w:pPr>
        <w:shd w:val="clear" w:color="auto" w:fill="FFFFFF"/>
        <w:jc w:val="both"/>
      </w:pPr>
      <w:r>
        <w:tab/>
        <w:t xml:space="preserve">1. Затвердити </w:t>
      </w:r>
      <w:r w:rsidRPr="00F4156E">
        <w:t>У</w:t>
      </w:r>
      <w:r>
        <w:t>ніфікований клінічний</w:t>
      </w:r>
      <w:r w:rsidRPr="00813ACE">
        <w:t xml:space="preserve"> протокол </w:t>
      </w:r>
      <w:r>
        <w:t xml:space="preserve">первинної, вторинної (спеціалізованої) </w:t>
      </w:r>
      <w:r w:rsidRPr="00813ACE">
        <w:t xml:space="preserve">медичної допомоги </w:t>
      </w:r>
      <w:r>
        <w:t>дорослим та дітям «Вірусний гепатит С»</w:t>
      </w:r>
      <w:r w:rsidRPr="00813ACE">
        <w:t xml:space="preserve">, </w:t>
      </w:r>
      <w:r>
        <w:t>розроблений</w:t>
      </w:r>
      <w:r w:rsidRPr="00813ACE">
        <w:t xml:space="preserve"> на основі адаптованої клінічної настанови</w:t>
      </w:r>
      <w:r>
        <w:t>, заснованої на доказах</w:t>
      </w:r>
      <w:r w:rsidRPr="00813ACE">
        <w:t xml:space="preserve"> «</w:t>
      </w:r>
      <w:r>
        <w:t>Вірусний гепатит С»</w:t>
      </w:r>
      <w:r w:rsidRPr="00813ACE">
        <w:t>, як джерела доказової інформації про найкращу медичну практику</w:t>
      </w:r>
      <w:r>
        <w:t>, що додаю</w:t>
      </w:r>
      <w:r w:rsidRPr="00813ACE">
        <w:t>ться.</w:t>
      </w:r>
    </w:p>
    <w:p w:rsidR="00B06593" w:rsidRPr="00813ACE" w:rsidRDefault="00B06593" w:rsidP="00B06593">
      <w:pPr>
        <w:shd w:val="clear" w:color="auto" w:fill="FFFFFF"/>
        <w:jc w:val="both"/>
      </w:pPr>
    </w:p>
    <w:p w:rsidR="00B06593" w:rsidRPr="00813ACE" w:rsidRDefault="00B06593" w:rsidP="00B06593">
      <w:pPr>
        <w:shd w:val="clear" w:color="auto" w:fill="FFFFFF"/>
        <w:jc w:val="both"/>
      </w:pPr>
      <w:r w:rsidRPr="00813ACE">
        <w:tab/>
        <w:t xml:space="preserve">2. Департаменту </w:t>
      </w:r>
      <w:r>
        <w:t xml:space="preserve">реформ та розвитку медичної </w:t>
      </w:r>
      <w:r w:rsidRPr="00813ACE">
        <w:t xml:space="preserve">допомоги </w:t>
      </w:r>
      <w:r>
        <w:t>(</w:t>
      </w:r>
      <w:r w:rsidRPr="00D16DE0">
        <w:t xml:space="preserve">М. </w:t>
      </w:r>
      <w:r>
        <w:t xml:space="preserve">Хобзей) </w:t>
      </w:r>
      <w:r w:rsidRPr="00813ACE">
        <w:t xml:space="preserve">забезпечити перегляд та оновлення </w:t>
      </w:r>
      <w:r w:rsidRPr="00F4156E">
        <w:t>У</w:t>
      </w:r>
      <w:r>
        <w:t>ніфікованого клінічного</w:t>
      </w:r>
      <w:r w:rsidRPr="00813ACE">
        <w:t xml:space="preserve"> протокол</w:t>
      </w:r>
      <w:r>
        <w:t>у</w:t>
      </w:r>
      <w:r w:rsidRPr="00813ACE">
        <w:t xml:space="preserve"> </w:t>
      </w:r>
      <w:r>
        <w:t xml:space="preserve">первинної, вторинної (спеціалізованої) </w:t>
      </w:r>
      <w:r w:rsidRPr="00813ACE">
        <w:t xml:space="preserve">медичної допомоги </w:t>
      </w:r>
      <w:r>
        <w:t>дорослим та дітям «Вірусний гепатит С», затвердженого</w:t>
      </w:r>
      <w:r w:rsidRPr="00813ACE">
        <w:t xml:space="preserve"> пунктом 1 цього наказу, не пізніше </w:t>
      </w:r>
      <w:r>
        <w:t>жовтня 2016</w:t>
      </w:r>
      <w:r w:rsidRPr="00813ACE">
        <w:t xml:space="preserve"> року.</w:t>
      </w:r>
    </w:p>
    <w:p w:rsidR="00B06593" w:rsidRPr="00F4156E" w:rsidRDefault="00B06593" w:rsidP="00B06593">
      <w:pPr>
        <w:shd w:val="clear" w:color="auto" w:fill="FFFFFF"/>
        <w:jc w:val="both"/>
      </w:pPr>
    </w:p>
    <w:p w:rsidR="00B06593" w:rsidRPr="00F4156E" w:rsidRDefault="00B06593" w:rsidP="00B06593">
      <w:pPr>
        <w:shd w:val="clear" w:color="auto" w:fill="FFFFFF"/>
        <w:jc w:val="both"/>
      </w:pPr>
    </w:p>
    <w:p w:rsidR="00B06593" w:rsidRPr="00C95C1B" w:rsidRDefault="00B06593" w:rsidP="00B06593">
      <w:pPr>
        <w:shd w:val="clear" w:color="auto" w:fill="FFFFFF"/>
        <w:jc w:val="both"/>
      </w:pPr>
      <w:r w:rsidRPr="00813ACE">
        <w:tab/>
        <w:t xml:space="preserve">3. </w:t>
      </w:r>
      <w:r>
        <w:t>Міністру охорони здоров’</w:t>
      </w:r>
      <w:r w:rsidRPr="002617CD">
        <w:t>я Автономної Республіки Крим, керівникам структурних підрозділів з питань охорони здоров</w:t>
      </w:r>
      <w:r>
        <w:t>’</w:t>
      </w:r>
      <w:r w:rsidRPr="002617CD">
        <w:t>я обласних, Київської та Севастопольської міських державних адміністрацій, кер</w:t>
      </w:r>
      <w:r>
        <w:t>івникам закладів охорони здоров’</w:t>
      </w:r>
      <w:r w:rsidRPr="002617CD">
        <w:t>я, що належать до сфери управління Міністерства охорони здоров</w:t>
      </w:r>
      <w:r>
        <w:t>’</w:t>
      </w:r>
      <w:r w:rsidRPr="002617CD">
        <w:t>я України, забезпечити:</w:t>
      </w:r>
    </w:p>
    <w:p w:rsidR="00B06593" w:rsidRPr="00C95C1B" w:rsidRDefault="00B06593" w:rsidP="00B06593">
      <w:pPr>
        <w:shd w:val="clear" w:color="auto" w:fill="FFFFFF"/>
        <w:jc w:val="both"/>
      </w:pPr>
    </w:p>
    <w:p w:rsidR="00B06593" w:rsidRDefault="00B06593" w:rsidP="00B06593">
      <w:pPr>
        <w:shd w:val="clear" w:color="auto" w:fill="FFFFFF"/>
        <w:jc w:val="both"/>
      </w:pPr>
      <w:r w:rsidRPr="00813ACE">
        <w:tab/>
        <w:t>1</w:t>
      </w:r>
      <w:r>
        <w:t>)</w:t>
      </w:r>
      <w:r w:rsidRPr="00813ACE">
        <w:t xml:space="preserve"> </w:t>
      </w:r>
      <w:r>
        <w:t>р</w:t>
      </w:r>
      <w:r w:rsidRPr="00813ACE">
        <w:t>оз</w:t>
      </w:r>
      <w:r>
        <w:t>робку в закладах охорони здоров’</w:t>
      </w:r>
      <w:r w:rsidRPr="00813ACE">
        <w:t>я локальних протоколів медичної допомоги (клінічних маршрутів пацієнтів) на основі</w:t>
      </w:r>
      <w:r>
        <w:t xml:space="preserve"> </w:t>
      </w:r>
      <w:r w:rsidRPr="00F4156E">
        <w:t>У</w:t>
      </w:r>
      <w:r w:rsidRPr="002617CD">
        <w:t>ніфікованого клінічного протоколу</w:t>
      </w:r>
      <w:r w:rsidRPr="00FB0B44">
        <w:t xml:space="preserve"> </w:t>
      </w:r>
      <w:r>
        <w:t xml:space="preserve">первинної, вторинної (спеціалізованої) </w:t>
      </w:r>
      <w:r w:rsidRPr="00813ACE">
        <w:t xml:space="preserve">медичної допомоги </w:t>
      </w:r>
      <w:r>
        <w:t xml:space="preserve">дорослим та дітям «Вірусний гепатит С», </w:t>
      </w:r>
      <w:r w:rsidRPr="00813ACE">
        <w:t>затверджен</w:t>
      </w:r>
      <w:r>
        <w:t>ого пунктом 1 цього наказу;</w:t>
      </w:r>
    </w:p>
    <w:p w:rsidR="00B06593" w:rsidRPr="00A268D0" w:rsidRDefault="00B06593" w:rsidP="00B06593">
      <w:pPr>
        <w:shd w:val="clear" w:color="auto" w:fill="FFFFFF"/>
        <w:jc w:val="both"/>
        <w:rPr>
          <w:sz w:val="24"/>
          <w:szCs w:val="24"/>
        </w:rPr>
      </w:pPr>
    </w:p>
    <w:p w:rsidR="00B06593" w:rsidRPr="00813ACE" w:rsidRDefault="00B06593" w:rsidP="00B06593">
      <w:pPr>
        <w:shd w:val="clear" w:color="auto" w:fill="FFFFFF"/>
        <w:jc w:val="both"/>
      </w:pPr>
      <w:r w:rsidRPr="00813ACE">
        <w:tab/>
      </w:r>
      <w:r>
        <w:t>2) в</w:t>
      </w:r>
      <w:r w:rsidRPr="00813ACE">
        <w:t>провадження та моніторинг дотри</w:t>
      </w:r>
      <w:r>
        <w:t>мання в закладах охорони здоров’</w:t>
      </w:r>
      <w:r w:rsidRPr="00813ACE">
        <w:t xml:space="preserve">я </w:t>
      </w:r>
      <w:r>
        <w:t xml:space="preserve">зазначених </w:t>
      </w:r>
      <w:r w:rsidRPr="00813ACE">
        <w:t>локальних протоколів медичної допомоги (клінічних маршрутів п</w:t>
      </w:r>
      <w:r w:rsidRPr="00813ACE">
        <w:t>а</w:t>
      </w:r>
      <w:r w:rsidRPr="00813ACE">
        <w:t>цієнта) при наданні медичної допомоги пацієнтам.</w:t>
      </w:r>
    </w:p>
    <w:p w:rsidR="00B06593" w:rsidRPr="00A268D0" w:rsidRDefault="00B06593" w:rsidP="00B06593">
      <w:pPr>
        <w:shd w:val="clear" w:color="auto" w:fill="FFFFFF"/>
        <w:jc w:val="both"/>
        <w:rPr>
          <w:sz w:val="24"/>
          <w:szCs w:val="24"/>
        </w:rPr>
      </w:pPr>
    </w:p>
    <w:p w:rsidR="00B06593" w:rsidRPr="00813ACE" w:rsidRDefault="00B06593" w:rsidP="00B06593">
      <w:pPr>
        <w:shd w:val="clear" w:color="auto" w:fill="FFFFFF"/>
        <w:jc w:val="both"/>
      </w:pPr>
      <w:r w:rsidRPr="00813ACE">
        <w:tab/>
        <w:t>4. Д</w:t>
      </w:r>
      <w:r>
        <w:t>ержавному підприємству</w:t>
      </w:r>
      <w:r w:rsidRPr="00813ACE">
        <w:t xml:space="preserve"> «Державний експертний центр </w:t>
      </w:r>
      <w:r w:rsidRPr="002617CD">
        <w:t>Міністерства охорони здоров</w:t>
      </w:r>
      <w:r>
        <w:t>’</w:t>
      </w:r>
      <w:r w:rsidRPr="002617CD">
        <w:t>я України</w:t>
      </w:r>
      <w:r w:rsidRPr="00813ACE">
        <w:t xml:space="preserve">» </w:t>
      </w:r>
      <w:r>
        <w:t xml:space="preserve">(О. Нагорна) </w:t>
      </w:r>
      <w:r w:rsidRPr="00813ACE">
        <w:t>забезпечити внесе</w:t>
      </w:r>
      <w:r w:rsidRPr="00813ACE">
        <w:t>н</w:t>
      </w:r>
      <w:r w:rsidRPr="00813ACE">
        <w:t>ня медико-технологічних документів до реєстру м</w:t>
      </w:r>
      <w:r w:rsidRPr="00813ACE">
        <w:t>е</w:t>
      </w:r>
      <w:r w:rsidRPr="00813ACE">
        <w:t>дико-технологічних документів.</w:t>
      </w:r>
    </w:p>
    <w:p w:rsidR="00B06593" w:rsidRPr="00A268D0" w:rsidRDefault="00B06593" w:rsidP="00B06593">
      <w:pPr>
        <w:shd w:val="clear" w:color="auto" w:fill="FFFFFF"/>
        <w:jc w:val="both"/>
        <w:rPr>
          <w:sz w:val="22"/>
          <w:szCs w:val="22"/>
        </w:rPr>
      </w:pPr>
    </w:p>
    <w:p w:rsidR="00B06593" w:rsidRDefault="00B06593" w:rsidP="00B06593">
      <w:pPr>
        <w:jc w:val="both"/>
      </w:pPr>
      <w:r w:rsidRPr="00813ACE">
        <w:tab/>
      </w:r>
      <w:r>
        <w:t xml:space="preserve">5. Унести зміни до наказів </w:t>
      </w:r>
      <w:r>
        <w:rPr>
          <w:rStyle w:val="a6"/>
          <w:i w:val="0"/>
          <w:noProof/>
        </w:rPr>
        <w:t>Міністерства</w:t>
      </w:r>
      <w:r w:rsidRPr="005F72C3">
        <w:rPr>
          <w:rStyle w:val="a6"/>
          <w:i w:val="0"/>
          <w:noProof/>
        </w:rPr>
        <w:t xml:space="preserve"> охорони здоров</w:t>
      </w:r>
      <w:r>
        <w:rPr>
          <w:rStyle w:val="a6"/>
          <w:i w:val="0"/>
          <w:noProof/>
        </w:rPr>
        <w:t>’</w:t>
      </w:r>
      <w:r w:rsidRPr="005F72C3">
        <w:rPr>
          <w:rStyle w:val="a6"/>
          <w:i w:val="0"/>
          <w:noProof/>
        </w:rPr>
        <w:t>я</w:t>
      </w:r>
      <w:r>
        <w:rPr>
          <w:rStyle w:val="a6"/>
          <w:i w:val="0"/>
          <w:noProof/>
        </w:rPr>
        <w:t xml:space="preserve"> України</w:t>
      </w:r>
      <w:r>
        <w:t>:</w:t>
      </w:r>
    </w:p>
    <w:p w:rsidR="00B06593" w:rsidRDefault="00B06593" w:rsidP="00B06593">
      <w:pPr>
        <w:jc w:val="both"/>
      </w:pPr>
    </w:p>
    <w:p w:rsidR="00B06593" w:rsidRDefault="00B06593" w:rsidP="00B06593">
      <w:pPr>
        <w:ind w:firstLine="720"/>
        <w:jc w:val="both"/>
      </w:pPr>
      <w:r>
        <w:t>1)</w:t>
      </w:r>
      <w:r w:rsidRPr="007D6000">
        <w:t xml:space="preserve"> </w:t>
      </w:r>
      <w:r>
        <w:t xml:space="preserve">у </w:t>
      </w:r>
      <w:r w:rsidRPr="007D6000">
        <w:t>наказ</w:t>
      </w:r>
      <w:r>
        <w:t>і</w:t>
      </w:r>
      <w:r w:rsidRPr="007D6000">
        <w:t xml:space="preserve"> Міністерства охорони здоров</w:t>
      </w:r>
      <w:r>
        <w:t>’</w:t>
      </w:r>
      <w:r w:rsidRPr="007D6000">
        <w:t xml:space="preserve">я України від </w:t>
      </w:r>
      <w:r w:rsidRPr="004A06D2">
        <w:t>27 липня 1998</w:t>
      </w:r>
      <w:r>
        <w:t> </w:t>
      </w:r>
      <w:r w:rsidRPr="004A06D2">
        <w:t>року №</w:t>
      </w:r>
      <w:r>
        <w:t> </w:t>
      </w:r>
      <w:r w:rsidRPr="004A06D2">
        <w:t>226</w:t>
      </w:r>
      <w:r w:rsidRPr="007D6000">
        <w:t xml:space="preserve"> «</w:t>
      </w:r>
      <w:r w:rsidRPr="004A06D2">
        <w:t>Про затвердження Тимчасових галузевих уніфікованих стандартів медичних технологій діагностично-лікувального процесу стаціонарної допомоги дорослому населенню в лікувально-профілактичних закладах України та Тимчасових стандартів обсягів діагностичних досліджень, лікувальних заходів та критерії якості лікування дітей</w:t>
      </w:r>
      <w:r w:rsidRPr="007D6000">
        <w:t>»</w:t>
      </w:r>
      <w:r>
        <w:t>:</w:t>
      </w:r>
    </w:p>
    <w:p w:rsidR="00B06593" w:rsidRPr="00A268D0" w:rsidRDefault="00B06593" w:rsidP="00B06593">
      <w:pPr>
        <w:shd w:val="clear" w:color="auto" w:fill="FFFFFF"/>
        <w:jc w:val="both"/>
        <w:rPr>
          <w:sz w:val="22"/>
          <w:szCs w:val="22"/>
        </w:rPr>
      </w:pPr>
    </w:p>
    <w:p w:rsidR="00B06593" w:rsidRDefault="00B06593" w:rsidP="00B06593">
      <w:pPr>
        <w:shd w:val="clear" w:color="auto" w:fill="FFFFFF"/>
        <w:ind w:firstLine="720"/>
        <w:jc w:val="both"/>
      </w:pPr>
      <w:r>
        <w:t>позиції 13</w:t>
      </w:r>
      <w:r w:rsidRPr="000E1E89">
        <w:t xml:space="preserve"> в частині «ІІ рівень надання медичної допомоги»</w:t>
      </w:r>
      <w:r>
        <w:t xml:space="preserve"> та позиції 43</w:t>
      </w:r>
      <w:r w:rsidRPr="000E1E89">
        <w:t xml:space="preserve"> в частині «</w:t>
      </w:r>
      <w:r>
        <w:t>ІІІ та IV</w:t>
      </w:r>
      <w:r w:rsidRPr="009B01CA">
        <w:t xml:space="preserve"> рівні </w:t>
      </w:r>
      <w:r w:rsidRPr="000E1E89">
        <w:t>надання медичної допомоги»</w:t>
      </w:r>
      <w:r>
        <w:t xml:space="preserve"> «</w:t>
      </w:r>
      <w:r w:rsidRPr="000E1E89">
        <w:t>Нозологічна форма: Гострий гепатит</w:t>
      </w:r>
      <w:r>
        <w:t> </w:t>
      </w:r>
      <w:r w:rsidRPr="000E1E89">
        <w:t>С,</w:t>
      </w:r>
      <w:r>
        <w:t xml:space="preserve"> легкий перебіг,</w:t>
      </w:r>
      <w:r w:rsidRPr="000E1E89">
        <w:t xml:space="preserve"> шифр МКХ-10: В</w:t>
      </w:r>
      <w:r>
        <w:t> </w:t>
      </w:r>
      <w:r w:rsidRPr="000E1E89">
        <w:t>17.1»</w:t>
      </w:r>
      <w:r>
        <w:t xml:space="preserve"> </w:t>
      </w:r>
      <w:r w:rsidRPr="000E1E89">
        <w:t>розділу 5 «</w:t>
      </w:r>
      <w:r w:rsidRPr="000E1E89">
        <w:rPr>
          <w:color w:val="000000"/>
        </w:rPr>
        <w:t>Інфекційні хвороби</w:t>
      </w:r>
      <w:r w:rsidRPr="000E1E89">
        <w:t>»</w:t>
      </w:r>
      <w:r>
        <w:t xml:space="preserve"> </w:t>
      </w:r>
      <w:r w:rsidRPr="004735F3">
        <w:t>Т</w:t>
      </w:r>
      <w:r>
        <w:t>имчасових галузевих уніфікованих стандартів</w:t>
      </w:r>
      <w:r w:rsidRPr="00AF588F">
        <w:t xml:space="preserve"> медичних технологій діагностично-лікувального процесу стаціонарної допомоги дорослому населенню в лікувально-профілактичних закладах України</w:t>
      </w:r>
      <w:r>
        <w:t>,</w:t>
      </w:r>
      <w:r w:rsidRPr="00AF588F">
        <w:t xml:space="preserve"> </w:t>
      </w:r>
      <w:r>
        <w:t xml:space="preserve">затверджених </w:t>
      </w:r>
      <w:r w:rsidRPr="008D2FBC">
        <w:t>наказ</w:t>
      </w:r>
      <w:r>
        <w:t>ом</w:t>
      </w:r>
      <w:r w:rsidRPr="008D2FBC">
        <w:t xml:space="preserve"> Міністерства охорони здоров’я України від 27 липня 1998 року № 226, виключити</w:t>
      </w:r>
      <w:r>
        <w:t>;</w:t>
      </w:r>
    </w:p>
    <w:p w:rsidR="00B06593" w:rsidRDefault="00B06593" w:rsidP="00B06593">
      <w:pPr>
        <w:shd w:val="clear" w:color="auto" w:fill="FFFFFF"/>
        <w:ind w:firstLine="720"/>
        <w:jc w:val="both"/>
      </w:pPr>
    </w:p>
    <w:p w:rsidR="00B06593" w:rsidRPr="00B574A0" w:rsidRDefault="00B06593" w:rsidP="00B06593">
      <w:pPr>
        <w:shd w:val="clear" w:color="auto" w:fill="FFFFFF"/>
        <w:ind w:firstLine="720"/>
        <w:jc w:val="both"/>
      </w:pPr>
      <w:r>
        <w:t xml:space="preserve">позиції 3 </w:t>
      </w:r>
      <w:r w:rsidRPr="000E1E89">
        <w:t>в частині «ІІ рівень надання медичної допомоги»</w:t>
      </w:r>
      <w:r>
        <w:t xml:space="preserve">, позиції 4 </w:t>
      </w:r>
      <w:r w:rsidRPr="000E1E89">
        <w:t>в частині «ІІ</w:t>
      </w:r>
      <w:r>
        <w:t>І</w:t>
      </w:r>
      <w:r w:rsidRPr="000E1E89">
        <w:t xml:space="preserve"> рівень надання медичної допомоги»</w:t>
      </w:r>
      <w:r w:rsidRPr="00F3331A">
        <w:t xml:space="preserve"> </w:t>
      </w:r>
      <w:r>
        <w:t xml:space="preserve">та позиції 2 </w:t>
      </w:r>
      <w:r w:rsidRPr="000E1E89">
        <w:t>в частині «І</w:t>
      </w:r>
      <w:r>
        <w:rPr>
          <w:lang w:val="en-US"/>
        </w:rPr>
        <w:t>V</w:t>
      </w:r>
      <w:r w:rsidRPr="000E1E89">
        <w:t xml:space="preserve"> рівень надання медичної допомоги»</w:t>
      </w:r>
      <w:r>
        <w:t xml:space="preserve"> «</w:t>
      </w:r>
      <w:r w:rsidRPr="000E1E89">
        <w:t xml:space="preserve">Нозологічна форма: </w:t>
      </w:r>
      <w:r w:rsidRPr="008F19DB">
        <w:rPr>
          <w:color w:val="000000"/>
        </w:rPr>
        <w:t>Хронічний вірусний гепатит</w:t>
      </w:r>
      <w:r w:rsidRPr="008F19DB">
        <w:t>,</w:t>
      </w:r>
      <w:r w:rsidRPr="000E1E89">
        <w:t xml:space="preserve"> шифр МКХ-10: В</w:t>
      </w:r>
      <w:r>
        <w:t> 18</w:t>
      </w:r>
      <w:r w:rsidRPr="000E1E89">
        <w:t>»</w:t>
      </w:r>
      <w:r>
        <w:t xml:space="preserve"> </w:t>
      </w:r>
      <w:r w:rsidRPr="000E1E89">
        <w:t>розділу</w:t>
      </w:r>
      <w:r>
        <w:t xml:space="preserve"> «Гастроентерологія» Тимчасових стандартів обсягів діагностичних досліджень, лікувальних заходів та критеріїв якості лікування дітей,</w:t>
      </w:r>
      <w:r w:rsidRPr="00AF588F">
        <w:t xml:space="preserve"> </w:t>
      </w:r>
      <w:r>
        <w:t xml:space="preserve">затверджених </w:t>
      </w:r>
      <w:r w:rsidRPr="00385AB8">
        <w:t>наказ</w:t>
      </w:r>
      <w:r>
        <w:t>ом</w:t>
      </w:r>
      <w:r w:rsidRPr="00385AB8">
        <w:t xml:space="preserve"> Міністерства охорони здоров</w:t>
      </w:r>
      <w:r>
        <w:t>’</w:t>
      </w:r>
      <w:r w:rsidRPr="00385AB8">
        <w:t>я України від 27 липня 1998 року № 226</w:t>
      </w:r>
      <w:r>
        <w:t>, виключити;</w:t>
      </w:r>
    </w:p>
    <w:p w:rsidR="00B06593" w:rsidRDefault="00B06593" w:rsidP="00B06593">
      <w:pPr>
        <w:shd w:val="clear" w:color="auto" w:fill="FFFFFF"/>
        <w:ind w:firstLine="720"/>
        <w:jc w:val="both"/>
      </w:pPr>
    </w:p>
    <w:p w:rsidR="00B06593" w:rsidRDefault="00B06593" w:rsidP="00B06593">
      <w:pPr>
        <w:shd w:val="clear" w:color="auto" w:fill="FFFFFF"/>
        <w:ind w:firstLine="720"/>
        <w:jc w:val="both"/>
      </w:pPr>
    </w:p>
    <w:p w:rsidR="00B06593" w:rsidRDefault="00B06593" w:rsidP="00B06593">
      <w:pPr>
        <w:shd w:val="clear" w:color="auto" w:fill="FFFFFF"/>
        <w:ind w:firstLine="720"/>
        <w:jc w:val="both"/>
      </w:pPr>
      <w:r>
        <w:t xml:space="preserve">2) у </w:t>
      </w:r>
      <w:r w:rsidRPr="007D6000">
        <w:t>наказ</w:t>
      </w:r>
      <w:r>
        <w:t>і</w:t>
      </w:r>
      <w:r w:rsidRPr="007D6000">
        <w:t xml:space="preserve"> Міністерства охорони здоров</w:t>
      </w:r>
      <w:r>
        <w:t>’</w:t>
      </w:r>
      <w:r w:rsidRPr="007D6000">
        <w:t>я України від</w:t>
      </w:r>
      <w:r>
        <w:t xml:space="preserve">                          </w:t>
      </w:r>
      <w:r w:rsidRPr="00310E2A">
        <w:t>28 грудня 2002 року № </w:t>
      </w:r>
      <w:r w:rsidRPr="00986C83">
        <w:t xml:space="preserve">507 </w:t>
      </w:r>
      <w:r w:rsidRPr="00310E2A">
        <w:t>«Про затвердження нормативів надання медичної допомоги та показників якості медичної допомоги»</w:t>
      </w:r>
      <w:r>
        <w:t>:</w:t>
      </w:r>
    </w:p>
    <w:p w:rsidR="00B06593" w:rsidRDefault="00B06593" w:rsidP="00B06593">
      <w:pPr>
        <w:shd w:val="clear" w:color="auto" w:fill="FFFFFF"/>
        <w:ind w:firstLine="720"/>
        <w:jc w:val="both"/>
      </w:pPr>
    </w:p>
    <w:p w:rsidR="00B06593" w:rsidRDefault="00B06593" w:rsidP="00B06593">
      <w:pPr>
        <w:shd w:val="clear" w:color="auto" w:fill="FFFFFF"/>
        <w:ind w:firstLine="720"/>
        <w:jc w:val="both"/>
      </w:pPr>
      <w:r>
        <w:t>т</w:t>
      </w:r>
      <w:r w:rsidRPr="00310E2A">
        <w:t>аблиц</w:t>
      </w:r>
      <w:r>
        <w:t>ю «Шифр МКХ-10 К 73.9 Назва нозологічної форми</w:t>
      </w:r>
      <w:r w:rsidRPr="00310E2A">
        <w:t xml:space="preserve"> </w:t>
      </w:r>
      <w:r>
        <w:t>«</w:t>
      </w:r>
      <w:r w:rsidRPr="00310E2A">
        <w:t>Хронічний вірусний гепатит С»</w:t>
      </w:r>
      <w:r>
        <w:t xml:space="preserve"> </w:t>
      </w:r>
      <w:r w:rsidRPr="00202EA1">
        <w:t>Норматив</w:t>
      </w:r>
      <w:r>
        <w:t>ів</w:t>
      </w:r>
      <w:r w:rsidRPr="00202EA1">
        <w:t xml:space="preserve"> надання медичної допомоги дорослому населенню в амбулаторно-поліклінічних закладах за спеціальністю </w:t>
      </w:r>
      <w:r>
        <w:t>«гастроентерологія» виключити;</w:t>
      </w:r>
    </w:p>
    <w:p w:rsidR="00B06593" w:rsidRDefault="00B06593" w:rsidP="00B06593">
      <w:pPr>
        <w:shd w:val="clear" w:color="auto" w:fill="FFFFFF"/>
        <w:ind w:firstLine="720"/>
        <w:jc w:val="both"/>
      </w:pPr>
    </w:p>
    <w:p w:rsidR="00B06593" w:rsidRDefault="00B06593" w:rsidP="00B06593">
      <w:pPr>
        <w:shd w:val="clear" w:color="auto" w:fill="FFFFFF"/>
        <w:ind w:firstLine="720"/>
        <w:jc w:val="both"/>
      </w:pPr>
      <w:r>
        <w:t>т</w:t>
      </w:r>
      <w:r w:rsidRPr="00D20490">
        <w:t>аблиці</w:t>
      </w:r>
      <w:r>
        <w:t xml:space="preserve"> «Шифр МКХ-10</w:t>
      </w:r>
      <w:r w:rsidRPr="00310E2A">
        <w:t> B</w:t>
      </w:r>
      <w:r>
        <w:t> 18.2 Назва нозологічної форми</w:t>
      </w:r>
      <w:r w:rsidRPr="00310E2A">
        <w:t xml:space="preserve"> </w:t>
      </w:r>
      <w:r>
        <w:t>«</w:t>
      </w:r>
      <w:r w:rsidRPr="00310E2A">
        <w:t>ХГС (латентна фаза)»</w:t>
      </w:r>
      <w:r>
        <w:t>, «Фармакотерапія ХГС (латентна фаза)»,</w:t>
      </w:r>
      <w:r w:rsidRPr="00310E2A">
        <w:t xml:space="preserve"> «Шифр МКХ-10 B</w:t>
      </w:r>
      <w:r>
        <w:t>18.2</w:t>
      </w:r>
      <w:r w:rsidRPr="00310E2A">
        <w:t xml:space="preserve"> Назва нозологічної форми ХГС (стадія реплікації після адаптації до індукторів інтерферону)»</w:t>
      </w:r>
      <w:r>
        <w:t>, «Фармакотерапія Шифр МКХ-10 B18.2 Назва нозологічної форми «ХГС (стадія реплікації)» Н</w:t>
      </w:r>
      <w:r w:rsidRPr="00310E2A">
        <w:t>ормативів надання медичної допомоги дорослому населенню в амбулаторно-поліклінічних закладах за спе</w:t>
      </w:r>
      <w:r>
        <w:t>ціальністю «інфекційні хвороби» виключити;</w:t>
      </w:r>
    </w:p>
    <w:p w:rsidR="00B06593" w:rsidRDefault="00B06593" w:rsidP="00B06593">
      <w:pPr>
        <w:shd w:val="clear" w:color="auto" w:fill="FFFFFF"/>
        <w:ind w:firstLine="720"/>
        <w:jc w:val="both"/>
      </w:pPr>
    </w:p>
    <w:p w:rsidR="00B06593" w:rsidRPr="00B935A2" w:rsidRDefault="00B06593" w:rsidP="00B06593">
      <w:pPr>
        <w:shd w:val="clear" w:color="auto" w:fill="FFFFFF"/>
        <w:ind w:firstLine="720"/>
        <w:jc w:val="both"/>
      </w:pPr>
      <w:r>
        <w:t>3)</w:t>
      </w:r>
      <w:r w:rsidRPr="00B935A2">
        <w:t xml:space="preserve"> </w:t>
      </w:r>
      <w:r>
        <w:t>т</w:t>
      </w:r>
      <w:r w:rsidRPr="00B935A2">
        <w:t>аблиці «Шифр МКХ-10 В</w:t>
      </w:r>
      <w:r>
        <w:t> </w:t>
      </w:r>
      <w:r w:rsidRPr="00B935A2">
        <w:t>18.</w:t>
      </w:r>
      <w:r>
        <w:t>1</w:t>
      </w:r>
      <w:r w:rsidRPr="00B935A2">
        <w:t xml:space="preserve"> Назва нозологічної форми: хронічний вірусний гепатит С» та «Фармакотерапія хронічног</w:t>
      </w:r>
      <w:r>
        <w:t>о вірусного гепатиту С         К 18.2» Т</w:t>
      </w:r>
      <w:r w:rsidRPr="00B935A2">
        <w:t>имчасових державних соціальних нормативів надання медичної допомоги за спеціальністю</w:t>
      </w:r>
      <w:r>
        <w:t xml:space="preserve"> «З</w:t>
      </w:r>
      <w:r w:rsidRPr="00310E2A">
        <w:t>агальна практика – сімейна медицина», затверджених наказом Міністерства охорони здоров</w:t>
      </w:r>
      <w:r>
        <w:t>’</w:t>
      </w:r>
      <w:r w:rsidRPr="00310E2A">
        <w:t>я України від 05 травня 2003 року № </w:t>
      </w:r>
      <w:r w:rsidRPr="00F3331A">
        <w:t>191</w:t>
      </w:r>
      <w:r>
        <w:t>, виключити;</w:t>
      </w:r>
    </w:p>
    <w:p w:rsidR="00B06593" w:rsidRDefault="00B06593" w:rsidP="00B06593">
      <w:pPr>
        <w:shd w:val="clear" w:color="auto" w:fill="FFFFFF"/>
        <w:ind w:firstLine="720"/>
        <w:jc w:val="both"/>
      </w:pPr>
    </w:p>
    <w:p w:rsidR="00B06593" w:rsidRDefault="00B06593" w:rsidP="00B06593">
      <w:pPr>
        <w:shd w:val="clear" w:color="auto" w:fill="FFFFFF"/>
        <w:ind w:firstLine="720"/>
        <w:jc w:val="both"/>
      </w:pPr>
      <w:r>
        <w:t>4) р</w:t>
      </w:r>
      <w:r w:rsidRPr="00B935A2">
        <w:t>озділ</w:t>
      </w:r>
      <w:r>
        <w:t xml:space="preserve"> «Вірусний гепатит С» </w:t>
      </w:r>
      <w:r w:rsidRPr="00B935A2">
        <w:t>Клінічного протоколу з лікування опортуністичних інфекцій та ВІЛ-асоційованих захворювань у ВІЛ-інфі</w:t>
      </w:r>
      <w:r>
        <w:t>кованих та хворих на СНІД дітей</w:t>
      </w:r>
      <w:r w:rsidRPr="00B935A2">
        <w:t>, затвердженого наказом Міністерства охорони здоров</w:t>
      </w:r>
      <w:r>
        <w:t>’</w:t>
      </w:r>
      <w:r w:rsidRPr="00B935A2">
        <w:t xml:space="preserve">я України від </w:t>
      </w:r>
      <w:smartTag w:uri="urn:schemas-microsoft-com:office:smarttags" w:element="date">
        <w:smartTagPr>
          <w:attr w:name="Year" w:val="2006"/>
          <w:attr w:name="Day" w:val="07"/>
          <w:attr w:name="Month" w:val="4"/>
          <w:attr w:name="ls" w:val="trans"/>
        </w:smartTagPr>
        <w:r w:rsidRPr="00B935A2">
          <w:t>07 квітня 2006</w:t>
        </w:r>
      </w:smartTag>
      <w:r w:rsidRPr="00B935A2">
        <w:t xml:space="preserve"> року № 206 «</w:t>
      </w:r>
      <w:r w:rsidRPr="00B935A2">
        <w:rPr>
          <w:shd w:val="clear" w:color="auto" w:fill="FFFFFF"/>
        </w:rPr>
        <w:t>Про затвердження клінічних протоколів»</w:t>
      </w:r>
      <w:r>
        <w:rPr>
          <w:shd w:val="clear" w:color="auto" w:fill="FFFFFF"/>
        </w:rPr>
        <w:t>,</w:t>
      </w:r>
      <w:r w:rsidRPr="00B935A2">
        <w:t xml:space="preserve"> виключити</w:t>
      </w:r>
      <w:r>
        <w:t xml:space="preserve">; </w:t>
      </w:r>
    </w:p>
    <w:p w:rsidR="00B06593" w:rsidRDefault="00B06593" w:rsidP="00B06593">
      <w:pPr>
        <w:shd w:val="clear" w:color="auto" w:fill="FFFFFF"/>
        <w:ind w:firstLine="720"/>
        <w:jc w:val="both"/>
      </w:pPr>
    </w:p>
    <w:p w:rsidR="00B06593" w:rsidRDefault="00B06593" w:rsidP="00B06593">
      <w:pPr>
        <w:shd w:val="clear" w:color="auto" w:fill="FFFFFF"/>
        <w:ind w:firstLine="720"/>
        <w:jc w:val="both"/>
      </w:pPr>
      <w:r>
        <w:t>5) п</w:t>
      </w:r>
      <w:r w:rsidRPr="00310E2A">
        <w:t>ідпункт 1.8 пункту 1 наказу Міністерства охорони здоров</w:t>
      </w:r>
      <w:r>
        <w:t>’я України від 10 серпня 2007 </w:t>
      </w:r>
      <w:r w:rsidRPr="00310E2A">
        <w:t>року № 471 «Про затвердження протоколів лі</w:t>
      </w:r>
      <w:r>
        <w:t>кування дітей за спеціальністю «</w:t>
      </w:r>
      <w:r w:rsidRPr="00310E2A">
        <w:t>Дитяча гастроентерологія</w:t>
      </w:r>
      <w:r>
        <w:t>» виключити;</w:t>
      </w:r>
    </w:p>
    <w:p w:rsidR="00B06593" w:rsidRDefault="00B06593" w:rsidP="00B06593">
      <w:pPr>
        <w:shd w:val="clear" w:color="auto" w:fill="FFFFFF"/>
        <w:ind w:firstLine="720"/>
        <w:jc w:val="both"/>
      </w:pPr>
    </w:p>
    <w:p w:rsidR="00B06593" w:rsidRDefault="00B06593" w:rsidP="00B06593">
      <w:pPr>
        <w:shd w:val="clear" w:color="auto" w:fill="FFFFFF"/>
        <w:ind w:firstLine="720"/>
        <w:jc w:val="both"/>
      </w:pPr>
      <w:r>
        <w:t>6) п</w:t>
      </w:r>
      <w:r w:rsidRPr="00310E2A">
        <w:t xml:space="preserve">ідпункт </w:t>
      </w:r>
      <w:smartTag w:uri="urn:schemas-microsoft-com:office:smarttags" w:element="time">
        <w:smartTagPr>
          <w:attr w:name="Minute" w:val="19"/>
          <w:attr w:name="Hour" w:val="1"/>
        </w:smartTagPr>
        <w:r w:rsidRPr="00310E2A">
          <w:t>1.19</w:t>
        </w:r>
      </w:smartTag>
      <w:r w:rsidRPr="00310E2A">
        <w:t xml:space="preserve"> пункту 1 наказу Міністерства охорони здоров</w:t>
      </w:r>
      <w:r>
        <w:t>’я України від 29 січня 2013 </w:t>
      </w:r>
      <w:r w:rsidRPr="00310E2A">
        <w:t>року</w:t>
      </w:r>
      <w:r>
        <w:t xml:space="preserve"> </w:t>
      </w:r>
      <w:r w:rsidRPr="00310E2A">
        <w:t>№ </w:t>
      </w:r>
      <w:r w:rsidRPr="00B935A2">
        <w:t>59</w:t>
      </w:r>
      <w:r w:rsidRPr="00310E2A">
        <w:t xml:space="preserve"> «Про затвердження уніфікованих клінічних протоколів медичної допомоги дітям із захворюваннями органів травлення» </w:t>
      </w:r>
      <w:r>
        <w:t>виключити.</w:t>
      </w:r>
    </w:p>
    <w:p w:rsidR="00B06593" w:rsidRPr="00986C83" w:rsidRDefault="00B06593" w:rsidP="00B06593">
      <w:pPr>
        <w:shd w:val="clear" w:color="auto" w:fill="FFFFFF"/>
        <w:jc w:val="both"/>
      </w:pPr>
    </w:p>
    <w:p w:rsidR="00B06593" w:rsidRPr="00986C83" w:rsidRDefault="00B06593" w:rsidP="00B06593">
      <w:pPr>
        <w:shd w:val="clear" w:color="auto" w:fill="FFFFFF"/>
        <w:jc w:val="both"/>
      </w:pPr>
      <w:r>
        <w:tab/>
        <w:t>6</w:t>
      </w:r>
      <w:r w:rsidRPr="00986C83">
        <w:t>. Визнати таким, що втратив чинність, наказ Міністерства охорони здоров</w:t>
      </w:r>
      <w:r>
        <w:t>’</w:t>
      </w:r>
      <w:r w:rsidRPr="00986C83">
        <w:t>я України від 30</w:t>
      </w:r>
      <w:r>
        <w:t> </w:t>
      </w:r>
      <w:r w:rsidRPr="00986C83">
        <w:t>грудня 2008</w:t>
      </w:r>
      <w:r>
        <w:t> </w:t>
      </w:r>
      <w:r w:rsidRPr="00986C83">
        <w:t>року №</w:t>
      </w:r>
      <w:r>
        <w:rPr>
          <w:lang w:val="ru-RU"/>
        </w:rPr>
        <w:t> </w:t>
      </w:r>
      <w:r w:rsidRPr="00986C83">
        <w:t>826 «Про затвердження Клінічного протоколу діагностики та лікування вірусного гепатиту</w:t>
      </w:r>
      <w:r>
        <w:t> </w:t>
      </w:r>
      <w:r w:rsidRPr="00986C83">
        <w:t>С у дорослих, хворих на ВІЛ-інфекцію».</w:t>
      </w:r>
    </w:p>
    <w:p w:rsidR="00B06593" w:rsidRDefault="00B06593" w:rsidP="00B06593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06593" w:rsidRPr="00813ACE" w:rsidRDefault="00B06593" w:rsidP="00B06593">
      <w:pPr>
        <w:shd w:val="clear" w:color="auto" w:fill="FFFFFF"/>
        <w:jc w:val="both"/>
      </w:pPr>
      <w:r>
        <w:tab/>
        <w:t>7</w:t>
      </w:r>
      <w:r w:rsidRPr="00813ACE">
        <w:t xml:space="preserve">. Контроль за </w:t>
      </w:r>
      <w:r w:rsidRPr="009104B9">
        <w:t xml:space="preserve">виконанням цього наказу </w:t>
      </w:r>
      <w:r>
        <w:t>покласти на заступника  Міністра О. Толстанова</w:t>
      </w:r>
      <w:r w:rsidRPr="009104B9">
        <w:t>.</w:t>
      </w:r>
      <w:r w:rsidRPr="00813ACE">
        <w:t xml:space="preserve"> </w:t>
      </w:r>
    </w:p>
    <w:p w:rsidR="00B06593" w:rsidRPr="00813ACE" w:rsidRDefault="00B06593" w:rsidP="00B06593">
      <w:pPr>
        <w:shd w:val="clear" w:color="auto" w:fill="FFFFFF"/>
        <w:spacing w:after="78"/>
        <w:jc w:val="both"/>
      </w:pPr>
    </w:p>
    <w:p w:rsidR="00B06593" w:rsidRPr="00813ACE" w:rsidRDefault="00B06593" w:rsidP="00B06593">
      <w:pPr>
        <w:shd w:val="clear" w:color="auto" w:fill="FFFFFF"/>
        <w:spacing w:after="78"/>
        <w:jc w:val="both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520"/>
        <w:gridCol w:w="5095"/>
      </w:tblGrid>
      <w:tr w:rsidR="00B06593" w:rsidRPr="00813ACE">
        <w:trPr>
          <w:tblCellSpacing w:w="0" w:type="dxa"/>
        </w:trPr>
        <w:tc>
          <w:tcPr>
            <w:tcW w:w="0" w:type="auto"/>
            <w:vAlign w:val="center"/>
          </w:tcPr>
          <w:p w:rsidR="00B06593" w:rsidRPr="00813ACE" w:rsidRDefault="00B06593" w:rsidP="004241C2">
            <w:pPr>
              <w:jc w:val="both"/>
              <w:rPr>
                <w:b/>
                <w:bCs/>
              </w:rPr>
            </w:pPr>
            <w:r w:rsidRPr="00813ACE">
              <w:rPr>
                <w:b/>
                <w:bCs/>
              </w:rPr>
              <w:t>Міністр</w:t>
            </w:r>
          </w:p>
        </w:tc>
        <w:tc>
          <w:tcPr>
            <w:tcW w:w="0" w:type="auto"/>
            <w:vAlign w:val="center"/>
          </w:tcPr>
          <w:p w:rsidR="00B06593" w:rsidRPr="00813ACE" w:rsidRDefault="00B06593" w:rsidP="004241C2">
            <w:pPr>
              <w:jc w:val="right"/>
              <w:rPr>
                <w:b/>
                <w:bCs/>
              </w:rPr>
            </w:pPr>
            <w:r>
              <w:rPr>
                <w:b/>
              </w:rPr>
              <w:t>О. Мусій</w:t>
            </w:r>
          </w:p>
        </w:tc>
      </w:tr>
    </w:tbl>
    <w:p w:rsidR="00B06593" w:rsidRPr="004D5322" w:rsidRDefault="00B06593" w:rsidP="00B06593">
      <w:pPr>
        <w:rPr>
          <w:lang w:val="en-US"/>
        </w:rPr>
        <w:sectPr w:rsidR="00B06593" w:rsidRPr="004D5322" w:rsidSect="00353E99">
          <w:headerReference w:type="even" r:id="rId7"/>
          <w:headerReference w:type="default" r:id="rId8"/>
          <w:pgSz w:w="11906" w:h="16838" w:code="9"/>
          <w:pgMar w:top="1134" w:right="851" w:bottom="899" w:left="1440" w:header="709" w:footer="709" w:gutter="0"/>
          <w:cols w:space="708"/>
          <w:titlePg/>
          <w:docGrid w:linePitch="360"/>
        </w:sectPr>
      </w:pPr>
    </w:p>
    <w:p w:rsidR="00A04D4C" w:rsidRPr="004D5322" w:rsidRDefault="00A04D4C" w:rsidP="00B06593">
      <w:pPr>
        <w:rPr>
          <w:lang w:val="en-US"/>
        </w:rPr>
      </w:pPr>
    </w:p>
    <w:sectPr w:rsidR="00A04D4C" w:rsidRPr="004D5322" w:rsidSect="00353E99">
      <w:headerReference w:type="even" r:id="rId9"/>
      <w:headerReference w:type="default" r:id="rId10"/>
      <w:pgSz w:w="11906" w:h="16838" w:code="9"/>
      <w:pgMar w:top="1134" w:right="851" w:bottom="89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6A3" w:rsidRDefault="005736A3">
      <w:r>
        <w:separator/>
      </w:r>
    </w:p>
  </w:endnote>
  <w:endnote w:type="continuationSeparator" w:id="0">
    <w:p w:rsidR="005736A3" w:rsidRDefault="00573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6A3" w:rsidRDefault="005736A3">
      <w:r>
        <w:separator/>
      </w:r>
    </w:p>
  </w:footnote>
  <w:footnote w:type="continuationSeparator" w:id="0">
    <w:p w:rsidR="005736A3" w:rsidRDefault="00573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93" w:rsidRDefault="00B06593" w:rsidP="006D62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6593" w:rsidRDefault="00B065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93" w:rsidRDefault="00B06593" w:rsidP="006D62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2649">
      <w:rPr>
        <w:rStyle w:val="a5"/>
        <w:noProof/>
      </w:rPr>
      <w:t>2</w:t>
    </w:r>
    <w:r>
      <w:rPr>
        <w:rStyle w:val="a5"/>
      </w:rPr>
      <w:fldChar w:fldCharType="end"/>
    </w:r>
  </w:p>
  <w:p w:rsidR="00B06593" w:rsidRDefault="00B06593" w:rsidP="006D628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2A6" w:rsidRDefault="007932A6" w:rsidP="006D62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32A6" w:rsidRDefault="007932A6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2A6" w:rsidRDefault="007932A6" w:rsidP="006D62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6593">
      <w:rPr>
        <w:rStyle w:val="a5"/>
        <w:noProof/>
      </w:rPr>
      <w:t>6</w:t>
    </w:r>
    <w:r>
      <w:rPr>
        <w:rStyle w:val="a5"/>
      </w:rPr>
      <w:fldChar w:fldCharType="end"/>
    </w:r>
  </w:p>
  <w:p w:rsidR="007932A6" w:rsidRDefault="007932A6" w:rsidP="006D628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283"/>
    <w:rsid w:val="00024BFE"/>
    <w:rsid w:val="00026734"/>
    <w:rsid w:val="000439A2"/>
    <w:rsid w:val="0006387C"/>
    <w:rsid w:val="00091715"/>
    <w:rsid w:val="000C2858"/>
    <w:rsid w:val="000E1E89"/>
    <w:rsid w:val="000E4979"/>
    <w:rsid w:val="000F08FF"/>
    <w:rsid w:val="00103250"/>
    <w:rsid w:val="0011624E"/>
    <w:rsid w:val="00121428"/>
    <w:rsid w:val="001412BE"/>
    <w:rsid w:val="0014630D"/>
    <w:rsid w:val="00155009"/>
    <w:rsid w:val="00170504"/>
    <w:rsid w:val="00174A22"/>
    <w:rsid w:val="00193BE0"/>
    <w:rsid w:val="00197631"/>
    <w:rsid w:val="001C64E9"/>
    <w:rsid w:val="001C7103"/>
    <w:rsid w:val="001E2A1F"/>
    <w:rsid w:val="001E4ABD"/>
    <w:rsid w:val="001F5EF8"/>
    <w:rsid w:val="001F6682"/>
    <w:rsid w:val="00202EA1"/>
    <w:rsid w:val="00211BED"/>
    <w:rsid w:val="00236D0F"/>
    <w:rsid w:val="002617CD"/>
    <w:rsid w:val="00282763"/>
    <w:rsid w:val="00285ADC"/>
    <w:rsid w:val="002A0BF5"/>
    <w:rsid w:val="002A4ABF"/>
    <w:rsid w:val="002B0CB4"/>
    <w:rsid w:val="002B7BD1"/>
    <w:rsid w:val="002C3D8B"/>
    <w:rsid w:val="002F31CC"/>
    <w:rsid w:val="003010C6"/>
    <w:rsid w:val="00347E53"/>
    <w:rsid w:val="00353E99"/>
    <w:rsid w:val="00374770"/>
    <w:rsid w:val="003879DE"/>
    <w:rsid w:val="003E444A"/>
    <w:rsid w:val="003E461B"/>
    <w:rsid w:val="0040240D"/>
    <w:rsid w:val="004241C2"/>
    <w:rsid w:val="00432046"/>
    <w:rsid w:val="004415D5"/>
    <w:rsid w:val="00450CA6"/>
    <w:rsid w:val="004649B3"/>
    <w:rsid w:val="004735F3"/>
    <w:rsid w:val="00493DDB"/>
    <w:rsid w:val="004A06D2"/>
    <w:rsid w:val="004A0BD6"/>
    <w:rsid w:val="004C2CE4"/>
    <w:rsid w:val="004C37F0"/>
    <w:rsid w:val="004D10D9"/>
    <w:rsid w:val="004D5322"/>
    <w:rsid w:val="00544EC0"/>
    <w:rsid w:val="00562DE8"/>
    <w:rsid w:val="00563A6B"/>
    <w:rsid w:val="005736A3"/>
    <w:rsid w:val="00583138"/>
    <w:rsid w:val="005854E6"/>
    <w:rsid w:val="00595EE4"/>
    <w:rsid w:val="005A7A67"/>
    <w:rsid w:val="005C2D2B"/>
    <w:rsid w:val="00601FD1"/>
    <w:rsid w:val="006115FC"/>
    <w:rsid w:val="006158DF"/>
    <w:rsid w:val="006324FA"/>
    <w:rsid w:val="006344F7"/>
    <w:rsid w:val="00644909"/>
    <w:rsid w:val="00647BC2"/>
    <w:rsid w:val="006519D7"/>
    <w:rsid w:val="00695A88"/>
    <w:rsid w:val="006A0429"/>
    <w:rsid w:val="006A5C71"/>
    <w:rsid w:val="006A6961"/>
    <w:rsid w:val="006B1581"/>
    <w:rsid w:val="006C1694"/>
    <w:rsid w:val="006D0708"/>
    <w:rsid w:val="006D6283"/>
    <w:rsid w:val="006E1BF3"/>
    <w:rsid w:val="006E2805"/>
    <w:rsid w:val="00721F6F"/>
    <w:rsid w:val="00723A6F"/>
    <w:rsid w:val="00724A3B"/>
    <w:rsid w:val="00767EEF"/>
    <w:rsid w:val="007720A4"/>
    <w:rsid w:val="007932A6"/>
    <w:rsid w:val="007D0F0F"/>
    <w:rsid w:val="007D3571"/>
    <w:rsid w:val="007E2FE2"/>
    <w:rsid w:val="007E32B7"/>
    <w:rsid w:val="008348B2"/>
    <w:rsid w:val="00845483"/>
    <w:rsid w:val="00846132"/>
    <w:rsid w:val="00863AD7"/>
    <w:rsid w:val="008857E3"/>
    <w:rsid w:val="008A6E06"/>
    <w:rsid w:val="008D2FBC"/>
    <w:rsid w:val="009003A6"/>
    <w:rsid w:val="009104B9"/>
    <w:rsid w:val="00930FB7"/>
    <w:rsid w:val="009564E1"/>
    <w:rsid w:val="009673A5"/>
    <w:rsid w:val="00986C83"/>
    <w:rsid w:val="0099750D"/>
    <w:rsid w:val="009B01CA"/>
    <w:rsid w:val="009F3001"/>
    <w:rsid w:val="00A01BCA"/>
    <w:rsid w:val="00A04D4C"/>
    <w:rsid w:val="00A569A8"/>
    <w:rsid w:val="00A629FE"/>
    <w:rsid w:val="00A7610F"/>
    <w:rsid w:val="00AA55A2"/>
    <w:rsid w:val="00AC043C"/>
    <w:rsid w:val="00AC2649"/>
    <w:rsid w:val="00AC4D3F"/>
    <w:rsid w:val="00AD4ACF"/>
    <w:rsid w:val="00AF2C90"/>
    <w:rsid w:val="00AF588F"/>
    <w:rsid w:val="00B01D49"/>
    <w:rsid w:val="00B06593"/>
    <w:rsid w:val="00B23C89"/>
    <w:rsid w:val="00B41786"/>
    <w:rsid w:val="00B574A0"/>
    <w:rsid w:val="00B770E8"/>
    <w:rsid w:val="00B8095C"/>
    <w:rsid w:val="00B935A2"/>
    <w:rsid w:val="00B945B6"/>
    <w:rsid w:val="00BC62C0"/>
    <w:rsid w:val="00BC6CFF"/>
    <w:rsid w:val="00BD5E53"/>
    <w:rsid w:val="00C13854"/>
    <w:rsid w:val="00C4751C"/>
    <w:rsid w:val="00C6789B"/>
    <w:rsid w:val="00C77169"/>
    <w:rsid w:val="00C82CB4"/>
    <w:rsid w:val="00CC6AA4"/>
    <w:rsid w:val="00D10B6C"/>
    <w:rsid w:val="00D20490"/>
    <w:rsid w:val="00D259F0"/>
    <w:rsid w:val="00D37E2D"/>
    <w:rsid w:val="00D72969"/>
    <w:rsid w:val="00D758EC"/>
    <w:rsid w:val="00D8613C"/>
    <w:rsid w:val="00D9796B"/>
    <w:rsid w:val="00DD004D"/>
    <w:rsid w:val="00DE6325"/>
    <w:rsid w:val="00E01BF5"/>
    <w:rsid w:val="00E053F6"/>
    <w:rsid w:val="00E16322"/>
    <w:rsid w:val="00E2112F"/>
    <w:rsid w:val="00E26C74"/>
    <w:rsid w:val="00E2763F"/>
    <w:rsid w:val="00E40AF1"/>
    <w:rsid w:val="00E72F14"/>
    <w:rsid w:val="00E90F77"/>
    <w:rsid w:val="00EA5224"/>
    <w:rsid w:val="00EC68EE"/>
    <w:rsid w:val="00F01182"/>
    <w:rsid w:val="00F14C14"/>
    <w:rsid w:val="00F3331A"/>
    <w:rsid w:val="00F630A3"/>
    <w:rsid w:val="00F66458"/>
    <w:rsid w:val="00F7489B"/>
    <w:rsid w:val="00F82DDE"/>
    <w:rsid w:val="00F953D3"/>
    <w:rsid w:val="00FA186C"/>
    <w:rsid w:val="00FB0B44"/>
    <w:rsid w:val="00FB19DC"/>
    <w:rsid w:val="00FD1B85"/>
    <w:rsid w:val="00FE0721"/>
    <w:rsid w:val="00FE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283"/>
    <w:rPr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6D6283"/>
    <w:pPr>
      <w:keepNext/>
      <w:outlineLvl w:val="2"/>
    </w:pPr>
    <w:rPr>
      <w:rFonts w:ascii="CG Times (W1)" w:hAnsi="CG Times (W1)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D6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D628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D6283"/>
  </w:style>
  <w:style w:type="character" w:styleId="a6">
    <w:name w:val="Emphasis"/>
    <w:basedOn w:val="a0"/>
    <w:qFormat/>
    <w:rsid w:val="006D6283"/>
    <w:rPr>
      <w:i/>
      <w:iCs/>
    </w:rPr>
  </w:style>
  <w:style w:type="paragraph" w:styleId="2">
    <w:name w:val="Body Text 2"/>
    <w:basedOn w:val="a"/>
    <w:rsid w:val="00845483"/>
    <w:pPr>
      <w:spacing w:after="120" w:line="480" w:lineRule="auto"/>
    </w:pPr>
    <w:rPr>
      <w:szCs w:val="24"/>
      <w:lang w:val="ru-RU"/>
    </w:rPr>
  </w:style>
  <w:style w:type="paragraph" w:styleId="a7">
    <w:name w:val="footer"/>
    <w:basedOn w:val="a"/>
    <w:rsid w:val="006519D7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4045</Words>
  <Characters>2306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centre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kuzma</dc:creator>
  <cp:keywords/>
  <cp:lastModifiedBy>MedLex</cp:lastModifiedBy>
  <cp:revision>2</cp:revision>
  <cp:lastPrinted>2014-02-03T12:25:00Z</cp:lastPrinted>
  <dcterms:created xsi:type="dcterms:W3CDTF">2014-04-04T15:49:00Z</dcterms:created>
  <dcterms:modified xsi:type="dcterms:W3CDTF">2014-04-04T15:49:00Z</dcterms:modified>
</cp:coreProperties>
</file>